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 aux industries du vide et de l'électronique.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Boutry, G.-A./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233-486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477-486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appliquée/ électronique/ </w:t>
            </w:r>
          </w:p>
        </w:tc>
      </w:tr>
    </w:tbl>
    <w:p>
      <w:pPr>
        <w:pStyle w:val="Heading3"/>
      </w:pPr>
      <w:r>
        <w:t>Résumé :</w:t>
      </w:r>
    </w:p>
    <w:p>
      <w:r>
        <w:t>Ce fascicule complète l’étude du vide et des tubes électroniques en introduisant **l’optique électronique, c’est-à-dire la manière dont on peut diriger, focaliser et contrôler un faisceau d’électrons à l’aide de champs électriques et magnétiques.</w:t>
        <w:br/>
        <w:br/>
        <w:t>Il sert aussi de transition entre les technologies à tubes (lampes, tubes spéciaux) et les technologies semi-conductrices (diodes, transistors), en montrant comment les principes physiques évoluent mais restent liés.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