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et simulation d'écosystèmes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Adresse bib.</w:t>
            </w:r>
          </w:p>
        </w:tc>
        <w:tc>
          <w:tcPr>
            <w:tcW w:type="dxa" w:w="7000"/>
          </w:tcPr>
          <w:p>
            <w:r>
              <w:t xml:space="preserve">Masson et EAP/ </w:t>
            </w:r>
          </w:p>
        </w:tc>
      </w:tr>
      <w:tr>
        <w:trPr>
          <w:trHeight w:val="567"/>
        </w:trPr>
        <w:tc>
          <w:tcPr>
            <w:tcW w:type="dxa" w:w="3000"/>
          </w:tcPr>
          <w:p>
            <w:r>
              <w:t>Nombre de Pages</w:t>
            </w:r>
          </w:p>
        </w:tc>
        <w:tc>
          <w:tcPr>
            <w:tcW w:type="dxa" w:w="7000"/>
          </w:tcPr>
          <w:p>
            <w:r>
              <w:t>273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Recherche en écologie(N°:None)</w:t>
            </w:r>
          </w:p>
        </w:tc>
      </w:tr>
      <w:tr>
        <w:trPr>
          <w:trHeight w:val="567"/>
        </w:trPr>
        <w:tc>
          <w:tcPr>
            <w:tcW w:type="dxa" w:w="3000"/>
          </w:tcPr>
          <w:p>
            <w:r>
              <w:t>Notes Générales</w:t>
            </w:r>
          </w:p>
        </w:tc>
        <w:tc>
          <w:tcPr>
            <w:tcW w:type="dxa" w:w="7000"/>
          </w:tcPr>
          <w:p>
            <w:r>
              <w:t>Bibliogr. p.p. 257-267. Glossaire. Index</w:t>
            </w:r>
          </w:p>
        </w:tc>
      </w:tr>
      <w:tr>
        <w:trPr>
          <w:trHeight w:val="567"/>
        </w:trPr>
        <w:tc>
          <w:tcPr>
            <w:tcW w:type="dxa" w:w="3000"/>
          </w:tcPr>
          <w:p>
            <w:r>
              <w:t>Thème</w:t>
            </w:r>
          </w:p>
        </w:tc>
        <w:tc>
          <w:tcPr>
            <w:tcW w:type="dxa" w:w="7000"/>
          </w:tcPr>
          <w:p>
            <w:r>
              <w:t>écologie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écosystèmes/ modèle mathematique/ </w:t>
            </w:r>
          </w:p>
        </w:tc>
      </w:tr>
    </w:tbl>
    <w:p>
      <w:pPr>
        <w:pStyle w:val="Heading3"/>
      </w:pPr>
      <w:r>
        <w:t>Résumé :</w:t>
      </w:r>
    </w:p>
    <w:p>
      <w:r>
        <w:t>Cet ouvrage présente l'état de l'art de la modélisation des écosystèmes et de leur simulation. Il montre en particulier l'intérêt d'une contrainte dont l'importance s'accroît en écologie : l'espace où évoluent les écosystèmes. L'enjeu de cette approche est multidisciplinaire : la contrainte spatiale relance actuellement les méthodes de modélisation en sciences de la vie, de l'environnement et de la Terre. Les auteurs décrivent les modèles et les outils de simulation appropriés à la gestion des effets spatiaux. Ils définissent les divers concepts liés, en particulier, aux niveaux d'abstraction et de détail des modèles, à la granularité du temps, à la validation des modèles, l'exploitation des résultats, la conception de plans d'expérience, les divers aspects de l'implémentation des outils logiciels. Par ailleurs, l'ouvrage couvre les champs plus classiques de la modélisation continue, de l'analyse markovienne et des automates cellulaires. Le chapitre final présente des exemples d'application, de la croissance forestière aux écosystèmes marins. Les cas décrits mettent en évidence le couplage simulateur-système d'information géographique. Ils se réfèrent en outre aux outils de simulation visuelle interactive. Les étudiants de maîtrise et de troisième cycle trouveront dans cette vue d'ensemble les éléments destinés à l'élaboration de leurs propres modèles classiques. Les scientifiques des diverses disciplines biologiques et écologiques y prendront connaissance de l'évolution actuelle des méthodes de modélisation et de simulation.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