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MP-PC-PSI-PT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Brenders, Pierre/ Sauzeix, Michaël/ </w:t>
            </w:r>
          </w:p>
        </w:tc>
      </w:tr>
      <w:tr>
        <w:trPr>
          <w:trHeight w:val="567"/>
        </w:trPr>
        <w:tc>
          <w:tcPr>
            <w:tcW w:type="dxa" w:w="3000"/>
          </w:tcPr>
          <w:p>
            <w:r>
              <w:t>Adresse bib.</w:t>
            </w:r>
          </w:p>
        </w:tc>
        <w:tc>
          <w:tcPr>
            <w:tcW w:type="dxa" w:w="7000"/>
          </w:tcPr>
          <w:p>
            <w:r>
              <w:t xml:space="preserve">Rosny-sous-Bois/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nouveaux précis Bréal(N°:None)</w:t>
            </w:r>
          </w:p>
        </w:tc>
      </w:tr>
      <w:tr>
        <w:trPr>
          <w:trHeight w:val="567"/>
        </w:trPr>
        <w:tc>
          <w:tcPr>
            <w:tcW w:type="dxa" w:w="3000"/>
          </w:tcPr>
          <w:p>
            <w:r>
              <w:t>Numéro d'Identification</w:t>
            </w:r>
          </w:p>
        </w:tc>
        <w:tc>
          <w:tcPr>
            <w:tcW w:type="dxa" w:w="7000"/>
          </w:tcPr>
          <w:p>
            <w:r>
              <w:t>2749503957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optique géométrique/ rayonnement électromagnétique/ </w:t>
            </w:r>
          </w:p>
        </w:tc>
      </w:tr>
    </w:tbl>
    <w:p>
      <w:pPr>
        <w:pStyle w:val="Heading3"/>
      </w:pPr>
      <w:r>
        <w:t>Résumé :</w:t>
      </w:r>
    </w:p>
    <w:p>
      <w:r>
        <w:t>Cet ouvrage sur l’optique pour les filières MP, PC, PSI et PT aborde les concepts fondamentaux de l’optique classique et moderne. Il explique la nature de la lumière, ses propriétés et les lois qui régissent ses comportements, comme la réflexion et la réfraction. L’ouvrage traite également des instruments optiques, des phénomènes d’interférence, de diffraction et de polarisation. Des applications pratiques et des exercices sont souvent intégrés pour aider les étudiants à comprendre et à appliquer les concepts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