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Botsis, John/ Deville,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p.p. 361-364 Index p.p. 365-372</w:t>
            </w:r>
          </w:p>
        </w:tc>
      </w:tr>
      <w:tr>
        <w:trPr>
          <w:trHeight w:val="567"/>
        </w:trPr>
        <w:tc>
          <w:tcPr>
            <w:tcW w:type="dxa" w:w="3000"/>
          </w:tcPr>
          <w:p>
            <w:r>
              <w:t>Numéro d'Identification</w:t>
            </w:r>
          </w:p>
        </w:tc>
        <w:tc>
          <w:tcPr>
            <w:tcW w:type="dxa" w:w="7000"/>
          </w:tcPr>
          <w:p>
            <w:r>
              <w:t>9782889150731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contrainte/ élasticité/ </w:t>
            </w:r>
          </w:p>
        </w:tc>
      </w:tr>
    </w:tbl>
    <w:p>
      <w:pPr>
        <w:pStyle w:val="Heading3"/>
      </w:pPr>
      <w:r>
        <w:t>Résumé :</w:t>
      </w:r>
    </w:p>
    <w:p>
      <w:r>
        <w:t>Cet ouvrage introduit les principes fondamentaux de la mécanique des milieux continus, qui étudie le comportement des matériaux considérés comme des milieux homogènes et continus. Ce domaine est essentiel pour comprendre la déformation et le mouvement des matériaux dans diverses applications, allant de la construction à la biomécanique.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