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Manétisme et matériaux magnétiques, pour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Brissonneau, Pierre/ </w:t>
            </w:r>
          </w:p>
        </w:tc>
      </w:tr>
      <w:tr>
        <w:trPr>
          <w:trHeight w:val="567"/>
        </w:trPr>
        <w:tc>
          <w:tcPr>
            <w:tcW w:type="dxa" w:w="3000"/>
          </w:tcPr>
          <w:p>
            <w:r>
              <w:t>Adresse bib.</w:t>
            </w:r>
          </w:p>
        </w:tc>
        <w:tc>
          <w:tcPr>
            <w:tcW w:type="dxa" w:w="7000"/>
          </w:tcPr>
          <w:p>
            <w:r>
              <w:t xml:space="preserve">Hermès sciences/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315-318</w:t>
            </w:r>
          </w:p>
        </w:tc>
      </w:tr>
      <w:tr>
        <w:trPr>
          <w:trHeight w:val="567"/>
        </w:trPr>
        <w:tc>
          <w:tcPr>
            <w:tcW w:type="dxa" w:w="3000"/>
          </w:tcPr>
          <w:p>
            <w:r>
              <w:t>Numéro d'Identification</w:t>
            </w:r>
          </w:p>
        </w:tc>
        <w:tc>
          <w:tcPr>
            <w:tcW w:type="dxa" w:w="7000"/>
          </w:tcPr>
          <w:p>
            <w:r>
              <w:t>2866015797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magnétique/ matériaux/ </w:t>
            </w:r>
          </w:p>
        </w:tc>
      </w:tr>
    </w:tbl>
    <w:p>
      <w:pPr>
        <w:pStyle w:val="Heading3"/>
      </w:pPr>
      <w:r>
        <w:t>Résumé :</w:t>
      </w:r>
    </w:p>
    <w:p>
      <w:r>
        <w:t>L'ouvrage explique les caractères spécifiques des matériaux magnétiques. Il expose le plus simplement possible les principaux résultats obtenus en physique du magnétisme, à l'échelle atomique d'abord, puis à l'échelle des domaines élémentaires et enfin à notre échelle, décrivant ainsi les caractéristiques essentielles de l'aimantation, l'origine de l'hystérésis et l'existence des pertes en fonctionnement dynamique. Il aborde ensuite la description des grandes familles de matériaux magnétiques industriels utilisés par les constructeurs électriciens : le fer et les aciers, les matériaux amorphes, les ferrites doux et durs et les aimants. Tous ces matériaux représentent autant d'exemples qui illustrent les principes généraux développés dans les premiers chapitres. C'est à une compréhension d'ensemble, à une vue synthétique, qu'est invité le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