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Social inequality in post growth Japan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Chiavacci, David/ Hommerich, Carola/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Routledge Taylor &amp; francis Group/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9780815356295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Culture, institutions sociales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Culture, institutions sociales/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economic stagnation/ demographic change/ inequality perception/ </w:t>
            </w:r>
          </w:p>
        </w:tc>
      </w:tr>
    </w:tbl>
    <w:p>
      <w:pPr>
        <w:pStyle w:val="Heading3"/>
      </w:pPr>
      <w:r>
        <w:t>Résumé :</w:t>
      </w:r>
    </w:p>
    <w:p>
      <w:r>
        <w:t>In recent decades Japan has changed from a strongly growing, economically successful nation regarded as prime example of social equality and inclusion, to a nation with a stagnating economy, a shrinking population and a very high proportion of elderly people. Within this, new forms of inequality are emerging and deepening, and a new model of Japan as 'gap society' (kakusa shakai) has become common-sense. These new forms of inequality are complex, are caused in different ways by a variety of factors, and require deep-seated reforms in order to remedy them. This book provides a comprehensive overview of inequality in contemporary Japan. It examines inequality in labour and employment, in welfare and family, in education and social mobility, in the urban-rural divide, and concerning immigration, ethnic minorities and gender. The book also considers the widespread anxiety effect of the fear of inequality; and discusses how far these developments in Japan represent a new form of social problem for the wider world.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