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Matériaux piézoélectriques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Brissaud, Michel/ </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XII-448 p.</w:t>
            </w:r>
          </w:p>
        </w:tc>
      </w:tr>
      <w:tr>
        <w:trPr>
          <w:trHeight w:val="567"/>
        </w:trPr>
        <w:tc>
          <w:tcPr>
            <w:tcW w:type="dxa" w:w="3000"/>
          </w:tcPr>
          <w:p>
            <w:r>
              <w:t>Illustration</w:t>
            </w:r>
          </w:p>
        </w:tc>
        <w:tc>
          <w:tcPr>
            <w:tcW w:type="dxa" w:w="7000"/>
          </w:tcPr>
          <w:p>
            <w:r>
              <w:t>ill., couv. en coul.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des sciences appliquées de l'INSA de Lyon(N°:None)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9782880746926</w:t>
            </w:r>
          </w:p>
        </w:tc>
      </w:tr>
      <w:tr>
        <w:trPr>
          <w:trHeight w:val="567"/>
        </w:trPr>
        <w:tc>
          <w:tcPr>
            <w:tcW w:type="dxa" w:w="3000"/>
          </w:tcPr>
          <w:p>
            <w:r>
              <w:t>Thème</w:t>
            </w:r>
          </w:p>
        </w:tc>
        <w:tc>
          <w:tcPr>
            <w:tcW w:type="dxa" w:w="7000"/>
          </w:tcPr>
          <w:p>
            <w:r>
              <w:t>Matériaux de l'ingénieur</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champ électrique/ matériaux piézoélectriques/ </w:t>
            </w:r>
          </w:p>
        </w:tc>
      </w:tr>
    </w:tbl>
    <w:p>
      <w:pPr>
        <w:pStyle w:val="Heading3"/>
      </w:pPr>
      <w:r>
        <w:t>Résumé :</w:t>
      </w:r>
    </w:p>
    <w:p>
      <w:r>
        <w:t>Les matériaux piézoélectriques possèdent la propriété de se polariser électriquement sous l'action d'une force mécanique (effet direct) et, réciproquement, de se déformer lorsqu'on leur applique un champ électrique (effet inverse). Ces caractéristiques particulières en font des matériaux de choix pour la réalisation d'actionneurs, de capteurs, de moteurs, de transducteurs ou de transformateurs. Cet ouvrage propose un exposé synthétique, clair et cohérent de l'ensemble des bases théoriques essentielles à la modélisation et la caractérisation de ces matériaux ainsi qu'à la compréhension du fonctionnement des éléments piézoélectriques et que des modes de vibration des éléments piézoélectriques.</w:t>
        <w:br/>
        <w:br/>
        <w:br/>
        <w:br/>
        <w:t>Les conditions d'établissement des divers modèles simplifiés ou complets sont décrites en détail et les limites de validité des modèles utilisés sont clairement établies. Des exemples pratiques illustrent le fonctionnement des divers types de capteurs, de transducteurs ou de moteurs piézoélectriques.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