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pratique pour l'utilisation des indices et coefficients climatologiques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Anser, Allaoua/ </w:t>
            </w:r>
          </w:p>
        </w:tc>
      </w:tr>
      <w:tr>
        <w:trPr>
          <w:trHeight w:val="567"/>
        </w:trPr>
        <w:tc>
          <w:tcPr>
            <w:tcW w:type="dxa" w:w="3000"/>
          </w:tcPr>
          <w:p>
            <w:r>
              <w:t>Edition</w:t>
            </w:r>
          </w:p>
        </w:tc>
        <w:tc>
          <w:tcPr>
            <w:tcW w:type="dxa" w:w="7000"/>
          </w:tcPr>
          <w:p>
            <w:r>
              <w:t>2éme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117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9789961015582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changement climatique/ analyse climatique/ </w:t>
            </w:r>
          </w:p>
        </w:tc>
      </w:tr>
    </w:tbl>
    <w:p>
      <w:pPr>
        <w:pStyle w:val="Heading3"/>
      </w:pPr>
      <w:r>
        <w:t>Résumé :</w:t>
      </w:r>
    </w:p>
    <w:p>
      <w:r>
        <w:t>Cet ouvrage est un  guide pratique est destiné aux chercheurs, décideurs et professionnels qui travaillent avec des données climatiques, leur offrant des ressources précieuses pour mieux comprendre et gérer les enjeux liés au climat.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