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alternatifs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2729899421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moteurs à combustion interne/ moteurs thermiques/ </w:t>
            </w:r>
          </w:p>
        </w:tc>
      </w:tr>
    </w:tbl>
    <w:p>
      <w:pPr>
        <w:pStyle w:val="Heading3"/>
      </w:pPr>
      <w:r>
        <w:t>Résumé :</w:t>
      </w:r>
    </w:p>
    <w:p>
      <w:r>
        <w:t>Les moteurs alternatifs à combustion interne sont étudiés et analysés depuis la théorie jusqu'à la réalisation pratique, en développant successivement : – les aspects cinématique et dynamique,</w:t>
        <w:br/>
        <w:br/>
        <w:t>– l'aspect thermodynamique (cycles théorique et réel),</w:t>
        <w:br/>
        <w:br/>
        <w:t>– l'écoulement des gaz (admission, balayage, compression),</w:t>
        <w:br/>
        <w:br/>
        <w:t>– la combustion (procédés, modélisation),</w:t>
        <w:br/>
        <w:br/>
        <w:t xml:space="preserve">– les performances réelles des moteurs. </w:t>
        <w:br/>
        <w:br/>
        <w:t>Un second ouvrage développera la conception et la construction des moteurs, les mesures et essais, et présentera des moteurs spéciaux jusqu'aux moteurs de compétition.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