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MATLAB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Sigmon, Kermit/ </w:t>
            </w:r>
          </w:p>
        </w:tc>
      </w:tr>
      <w:tr>
        <w:trPr>
          <w:trHeight w:val="567"/>
        </w:trPr>
        <w:tc>
          <w:tcPr>
            <w:tcW w:type="dxa" w:w="3000"/>
          </w:tcPr>
          <w:p>
            <w:r>
              <w:t>Adresse bib.</w:t>
            </w:r>
          </w:p>
        </w:tc>
        <w:tc>
          <w:tcPr>
            <w:tcW w:type="dxa" w:w="7000"/>
          </w:tcPr>
          <w:p>
            <w:r>
              <w:t xml:space="preserve">Berlin ; Heidelberg/ </w:t>
            </w:r>
          </w:p>
        </w:tc>
      </w:tr>
      <w:tr>
        <w:trPr>
          <w:trHeight w:val="567"/>
        </w:trPr>
        <w:tc>
          <w:tcPr>
            <w:tcW w:type="dxa" w:w="3000"/>
          </w:tcPr>
          <w:p>
            <w:r>
              <w:t>Nombre de Pages</w:t>
            </w:r>
          </w:p>
        </w:tc>
        <w:tc>
          <w:tcPr>
            <w:tcW w:type="dxa" w:w="7000"/>
          </w:tcPr>
          <w:p>
            <w:r>
              <w:t>99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228759681X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programmation scientifique/ matlab (logiciel)/ </w:t>
            </w:r>
          </w:p>
        </w:tc>
      </w:tr>
    </w:tbl>
    <w:p>
      <w:pPr>
        <w:pStyle w:val="Heading3"/>
      </w:pPr>
      <w:r>
        <w:t>Résumé :</w:t>
      </w:r>
    </w:p>
    <w:p>
      <w:r>
        <w:t>Cet ouvrage MATLABE vise à introduire les principes fondamentaux de l’environnement MATLAB, un logiciel largement utilisé dans les domaines de l’ingénierie, des mathématiques appliquées et des sciences. Il commence par présenter le logiciel, son interface, et les notions de base (variables, opérateurs, scripts). Ensuite, l’auteur explore la manipulation de matrices, les opérations linéaires, puis la visualisation graphique des données. Le livre inclut également des chapitres plus avancés sur les boîtes à outils spécialisées, la programmation orientée graphique (GUI), et des applications concrètes dans différents domaines techniques. Enfin, il propose des exemples pratiques et des exercices pour renforcer la compréhension, et envisage les perspectives d’évolution de MATLAB.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