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d'un biomarqueur de pollution chez des poissons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Flammarion, Patrick/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Gestion des milieux aquatiques(N°:15)</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2853625214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cyprinidés/ </w:t>
            </w:r>
          </w:p>
        </w:tc>
      </w:tr>
    </w:tbl>
    <w:p>
      <w:pPr>
        <w:pStyle w:val="Heading3"/>
      </w:pPr>
      <w:r>
        <w:t>Résumé :</w:t>
      </w:r>
    </w:p>
    <w:p>
      <w:r>
        <w:t>Cette étude vise à développer et améliorer la mesure d’un biomarqueur spécifique indiquant la pollution chez des poissons d’eau douce. Elle comprend la validation du biomarqueur afin d’assurer sa fiabilité et sa pertinence pour détecter les niveaux de pollution environnementale. Par ailleurs, l’étude cherche à optimiser les méthodes d’échantillonnage, d’analyse et de traitement des données pour garantir des résultats précis et reproductibles. Cette démarche permet de mieux évaluer l’impact des polluants sur les organismes aquatiques et contribue à renforcer les outils de surveillance écologique.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