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et biogéographie des forêts du bassin méditerranéen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Quézel, Pierre/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571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Environnement(N°:None)</w:t>
            </w:r>
          </w:p>
        </w:tc>
      </w:tr>
      <w:tr>
        <w:trPr>
          <w:trHeight w:val="567"/>
        </w:trPr>
        <w:tc>
          <w:tcPr>
            <w:tcW w:type="dxa" w:w="3000"/>
          </w:tcPr>
          <w:p>
            <w:r>
              <w:t>Notes Générales</w:t>
            </w:r>
          </w:p>
        </w:tc>
        <w:tc>
          <w:tcPr>
            <w:tcW w:type="dxa" w:w="7000"/>
          </w:tcPr>
          <w:p>
            <w:r>
              <w:t>Bibliogr. p.p. 445-483. Index</w:t>
            </w:r>
          </w:p>
        </w:tc>
      </w:tr>
      <w:tr>
        <w:trPr>
          <w:trHeight w:val="567"/>
        </w:trPr>
        <w:tc>
          <w:tcPr>
            <w:tcW w:type="dxa" w:w="3000"/>
          </w:tcPr>
          <w:p>
            <w:r>
              <w:t>Numéro d'Identification</w:t>
            </w:r>
          </w:p>
        </w:tc>
        <w:tc>
          <w:tcPr>
            <w:tcW w:type="dxa" w:w="7000"/>
          </w:tcPr>
          <w:p>
            <w:r>
              <w:t>2842994515</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des forêts/ </w:t>
            </w:r>
          </w:p>
        </w:tc>
      </w:tr>
    </w:tbl>
    <w:p>
      <w:pPr>
        <w:pStyle w:val="Heading3"/>
      </w:pPr>
      <w:r>
        <w:t>Résumé :</w:t>
      </w:r>
    </w:p>
    <w:p>
      <w:r>
        <w:t>L’ouvrage **« Écologie et biogéographie des forêts du bassin méditerranéen »** analyse les caractéristiques écologiques et la répartition spatiale des forêts méditerranéennes, un écosystème unique marqué par un climat méditerranéen spécifique et une biodiversité riche mais fragile. Il explore les facteurs abiotiques (climat, sol, topographie) et biotiques (espèces végétales, interactions écologiques) qui façonnent ces forêts. L’ouvrage met aussi en lumière les dynamiques de succession, les adaptations des espèces aux conditions méditerranéennes, ainsi que les impacts des activités humaines et des changements climatiques sur ces milieux. Enfin, il propose des stratégies de conservation et de gestion durable pour préserver ces écosystèmes essentiels.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