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Immunologie, le cours de Janis Kuby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Goldsby, Richard A./ Osborne, Barbara A./ Kindt, Thomas J./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XXVII-660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 p.p 649-660</w:t>
            </w:r>
          </w:p>
        </w:tc>
      </w:tr>
      <w:tr>
        <w:trPr>
          <w:trHeight w:val="567"/>
        </w:trPr>
        <w:tc>
          <w:tcPr>
            <w:tcW w:type="dxa" w:w="3000"/>
          </w:tcPr>
          <w:p>
            <w:r>
              <w:t>Numéro d'Identification</w:t>
            </w:r>
          </w:p>
        </w:tc>
        <w:tc>
          <w:tcPr>
            <w:tcW w:type="dxa" w:w="7000"/>
          </w:tcPr>
          <w:p>
            <w:r>
              <w:t>2100053809</w:t>
            </w:r>
          </w:p>
        </w:tc>
      </w:tr>
      <w:tr>
        <w:trPr>
          <w:trHeight w:val="567"/>
        </w:trPr>
        <w:tc>
          <w:tcPr>
            <w:tcW w:type="dxa" w:w="3000"/>
          </w:tcPr>
          <w:p>
            <w:r>
              <w:t>Thème</w:t>
            </w:r>
          </w:p>
        </w:tc>
        <w:tc>
          <w:tcPr>
            <w:tcW w:type="dxa" w:w="7000"/>
          </w:tcPr>
          <w:p>
            <w:r>
              <w:t>immunité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hôte/ immunogénicité/ haptène/ </w:t>
            </w:r>
          </w:p>
        </w:tc>
      </w:tr>
    </w:tbl>
    <w:p>
      <w:pPr>
        <w:pStyle w:val="Heading3"/>
      </w:pPr>
      <w:r>
        <w:t>Résumé :</w:t>
      </w:r>
    </w:p>
    <w:p>
      <w:r>
        <w:t>L'ouvrage comprend quatre parties : La première présente les cellules et les organes du système immunitaire. La deuxième étudie en détail toutes les molécules spécifiques - antigènes, immunoglobulines, récepteurs, protéines du système majeur d'histocompatibilité - tant du point de vue des relations entre la structure et la fonction que de celui de la différenciation. La troisième partie traite des mécanismes effecteurs et de leur régulation, qui font appel aux cytokines, au système du complément et aux réponses à médiation cellulaire ; un chapitre est consacré aux réactions d'hypersensibilité. La quatrième partie est tout entière dévolue à la pathologie, à la clinique et aux thérapeutiques les plus actuelles faisant appel à l'immunologie pour le traitement des maladies infectieuses, des maladies auto-immunes, du rejet des greffons lors des transplantations et enfin des cancers ; les principales techniques utilisées en immunologie sont décrites dans un dernier chapitre. De très nombreuses illustrations en couleurs, des résumés et des questions de révision en fin de chapitre favorisent la compréhension et l'assimilation des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