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Fisheries, biology and aquaculture of pectinids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Lubet, Pierre/ Barret, Jean/ Atelier international sur les pectinidés/ </w:t>
            </w:r>
          </w:p>
        </w:tc>
      </w:tr>
      <w:tr>
        <w:trPr>
          <w:trHeight w:val="567"/>
        </w:trPr>
        <w:tc>
          <w:tcPr>
            <w:tcW w:type="dxa" w:w="3000"/>
          </w:tcPr>
          <w:p>
            <w:r>
              <w:t>Adresse bib.</w:t>
            </w:r>
          </w:p>
        </w:tc>
        <w:tc>
          <w:tcPr>
            <w:tcW w:type="dxa" w:w="7000"/>
          </w:tcPr>
          <w:p>
            <w:r>
              <w:t xml:space="preserve">IFREMER/ Université de Caen/ </w:t>
            </w:r>
          </w:p>
        </w:tc>
      </w:tr>
      <w:tr>
        <w:trPr>
          <w:trHeight w:val="567"/>
        </w:trPr>
        <w:tc>
          <w:tcPr>
            <w:tcW w:type="dxa" w:w="3000"/>
          </w:tcPr>
          <w:p>
            <w:r>
              <w:t>Nombre de Pages</w:t>
            </w:r>
          </w:p>
        </w:tc>
        <w:tc>
          <w:tcPr>
            <w:tcW w:type="dxa" w:w="7000"/>
          </w:tcPr>
          <w:p>
            <w:r>
              <w:t>271 p.</w:t>
            </w:r>
          </w:p>
        </w:tc>
      </w:tr>
      <w:tr>
        <w:trPr>
          <w:trHeight w:val="567"/>
        </w:trPr>
        <w:tc>
          <w:tcPr>
            <w:tcW w:type="dxa" w:w="3000"/>
          </w:tcPr>
          <w:p>
            <w:r>
              <w:t>Collection</w:t>
            </w:r>
          </w:p>
        </w:tc>
        <w:tc>
          <w:tcPr>
            <w:tcW w:type="dxa" w:w="7000"/>
          </w:tcPr>
          <w:p>
            <w:r>
              <w:t>Actes de colloques(N°:17)</w:t>
            </w:r>
          </w:p>
        </w:tc>
      </w:tr>
      <w:tr>
        <w:trPr>
          <w:trHeight w:val="567"/>
        </w:trPr>
        <w:tc>
          <w:tcPr>
            <w:tcW w:type="dxa" w:w="3000"/>
          </w:tcPr>
          <w:p>
            <w:r>
              <w:t>Numéro d'Identification</w:t>
            </w:r>
          </w:p>
        </w:tc>
        <w:tc>
          <w:tcPr>
            <w:tcW w:type="dxa" w:w="7000"/>
          </w:tcPr>
          <w:p>
            <w:r>
              <w:t>2905434600</w:t>
            </w:r>
          </w:p>
        </w:tc>
      </w:tr>
      <w:tr>
        <w:trPr>
          <w:trHeight w:val="567"/>
        </w:trPr>
        <w:tc>
          <w:tcPr>
            <w:tcW w:type="dxa" w:w="3000"/>
          </w:tcPr>
          <w:p>
            <w:r>
              <w:t>Thème</w:t>
            </w:r>
          </w:p>
        </w:tc>
        <w:tc>
          <w:tcPr>
            <w:tcW w:type="dxa" w:w="7000"/>
          </w:tcPr>
          <w:p>
            <w:r>
              <w:t>chases et peches commerciale</w:t>
            </w:r>
          </w:p>
        </w:tc>
      </w:tr>
      <w:tr>
        <w:trPr>
          <w:trHeight w:val="567"/>
        </w:trPr>
        <w:tc>
          <w:tcPr>
            <w:tcW w:type="dxa" w:w="3000"/>
          </w:tcPr>
          <w:p>
            <w:r>
              <w:t>Classification(s)</w:t>
            </w:r>
          </w:p>
        </w:tc>
        <w:tc>
          <w:tcPr>
            <w:tcW w:type="dxa" w:w="7000"/>
          </w:tcPr>
          <w:p>
            <w:r>
              <w:t xml:space="preserve">639/ </w:t>
            </w:r>
          </w:p>
        </w:tc>
      </w:tr>
      <w:tr>
        <w:trPr>
          <w:trHeight w:val="567"/>
        </w:trPr>
        <w:tc>
          <w:tcPr>
            <w:tcW w:type="dxa" w:w="3000"/>
          </w:tcPr>
          <w:p>
            <w:r>
              <w:t>Sujet(s)</w:t>
            </w:r>
          </w:p>
        </w:tc>
        <w:tc>
          <w:tcPr>
            <w:tcW w:type="dxa" w:w="7000"/>
          </w:tcPr>
          <w:p>
            <w:r>
              <w:t xml:space="preserve">Biologie et aquaculture/ </w:t>
            </w:r>
          </w:p>
        </w:tc>
      </w:tr>
    </w:tbl>
    <w:p>
      <w:pPr>
        <w:pStyle w:val="Heading3"/>
      </w:pPr>
      <w:r>
        <w:t>Résumé :</w:t>
      </w:r>
    </w:p>
    <w:p>
      <w:r>
        <w:t>Cet Ouvrage s’adresse principalement aux biologistes marins, aux gestionnaires des pêches, aux aquaculteurs, et aux chercheurs travaillant sur les mollusques bivalves, en particulier les pectinidés. Un des objectifs principaux est de proposer des pistes pour améliorer la gestion durable des ressources, de renforcer les techniques d’élevage, et de combler les lacunes existantes dans la connaissance biologique (croissance, reproduction, résistance aux pathogènes,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