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Mutations techniques des pêches maritimes  : agir ou subir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 / IFREMER(N°:30)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2844330533</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Pêches/ </w:t>
            </w:r>
          </w:p>
        </w:tc>
      </w:tr>
    </w:tbl>
    <w:p>
      <w:pPr>
        <w:pStyle w:val="Heading3"/>
      </w:pPr>
      <w:r>
        <w:t>Résumé :</w:t>
      </w:r>
    </w:p>
    <w:p>
      <w:r>
        <w:t>Les actes de ce colloque rassemblent des informations, des références et des clefs pour permettre une lecture scientifique des processus de changements techniques et sociaux que connaissent, d'hier à aujourd'hui, les marins pêcheurs. La vingtaine de communications présentées s'organise autour de trois axes principaux : les marins pêcheurs et l'évolution des techniques de pêche ; l'évolution du système pêche : enjeux politiques et techniques ; l'évolution du système pêche : approches juridique et économique. La pertinence de cette thématique est celle d'une approche plurielle des activités halieutiques dans lesquelles les réflexions et les analyses des historiens, ethnologues, biologistes, halieutes, économistes, juristes et géographes permettent de comprendre les diverses mutations. L'ouvrage vise tous ceux qui s'intéressent aux problématiques de l'exploitation durable de la mer. Mots-clés : marins pécheurs, techniques de pêche, pêcheries, exploitation de la ressource marine, politiques des pêches, recherche halieutique.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