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Questions sur la dynamique de l'exploitation halieutique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Table ronde ORSTOM-IFREMER (1993 ; Montpellier)/ Rey, Hélène/ Laloë,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ORSTOM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Colloques et séminaires / ORSTOM(N°:None)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2709912481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chases et peches commerciale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Pêches/ Conservation des ressources halieutiques/ gestion/ </w:t>
            </w:r>
          </w:p>
        </w:tc>
      </w:tr>
    </w:tbl>
    <w:p>
      <w:pPr>
        <w:pStyle w:val="Heading3"/>
      </w:pPr>
      <w:r>
        <w:t>Résumé :</w:t>
      </w:r>
    </w:p>
    <w:p>
      <w:r>
        <w:t>Que les enjeux soient l'aménagement du territoire et la stabilisation économique des zones littorales pour bon nombre de</w:t>
        <w:br/>
        <w:br/>
        <w:t>pays développés ou la participation à l'autosuffisance alimentaire, la contribution à la balance des paiements, la stabilisation de l'emploi pour les pays en voie de développement ; dans</w:t>
        <w:br/>
        <w:br/>
        <w:t>tous les cas, l'importance économique et ou politique de</w:t>
        <w:br/>
        <w:br/>
        <w:t>l'exploitation halieutique en tant que secteur d'activité est loin</w:t>
        <w:br/>
        <w:br/>
        <w:t>d'être marginale dans la plupart des pays concernées.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