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et conception des dispositifs en ondes centimétriques et millimétriques.T2, les antennes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Thourel, Léo/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 Chevêche(N°:None)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2854282353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 centimétrique/ propagation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Publié avec le concours du ministère de la recherche et de la technologie (dist). dans ce deuxième tome, l'auteur a privilégié l'aspect pratique et s'est limité au domaine des ondes centimétriques et millimétriques, en insistant tout particulièrement sur les aériens à gain élevé, en vue de la réalisation de portées aussi grandes que possible. l'attention a été tout particulièrement portée sur les antennes à grands réflecteurs et les réseaux à balayage électronique. dans la première catégorie, on a insisté tout particulièrement sur les antennes froides à facteur de gain élevé, pouvant assurer à la fois les fonctions de télécommunication et de poursuite automatique. les dispositifs d'antennes plaquées sur des surfaces planes ou courbes sont également traités. quant aux antennes réseau à balayage électronique, l'auteur s'est attaché à la réalisation d'angles de balayage élevés en rejetant aussi loin que possible les directions aveugles. table des matières chapitre i propriétés et caractéristiques générales chapitre ii antennes à fils et systèmes dérivés. antennes à fentes chapitre iii alignements et réseaux chapitre iv ouvertures rayonnantes chapitre v cornets et sources primaires chapitre vi antennes utilisant des ondes de fuite ou de surface chapitre vii projecteurs d’ondes chapitre viii emploi des antennes à réflecteurs chapitre ix antennes plaquées en circuits imprimés chapitre x antennes quasi indépendantes de la fréquence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