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Écotoxicologie générale et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Coillie, Raymond/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521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de l'environnement(N°:None)</w:t>
            </w:r>
          </w:p>
        </w:tc>
      </w:tr>
      <w:tr>
        <w:trPr>
          <w:trHeight w:val="567"/>
        </w:trPr>
        <w:tc>
          <w:tcPr>
            <w:tcW w:type="dxa" w:w="3000"/>
          </w:tcPr>
          <w:p>
            <w:r>
              <w:t>Numéro d'Identification</w:t>
            </w:r>
          </w:p>
        </w:tc>
        <w:tc>
          <w:tcPr>
            <w:tcW w:type="dxa" w:w="7000"/>
          </w:tcPr>
          <w:p>
            <w:r>
              <w:t>9782762423587</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Ce livre d'aide pédagogique et scientifique de niveau universitaire couvre les multiples facettes de l'écotoxicologie qui est un domaine relativement nouveau. Son contenu renferme dans les trois premiers chapitres les notions de base expliquant notamment les mesures d'écotoxicité et les descripteurs de risque écotoxicologique. Ces notions sont articulées au chapitre 4 dans une démarche en six étapes (sources, cheminements, toxicités, dangers, expositions et risques) pour l'évaluation des risques écotoxicologiques.</w:t>
        <w:br/>
        <w:br/>
        <w:t>Des parties spécialisées de cette démarche, à savoir la toxicocinétique et sa régulation ainsi que la toxicodynamique, la génotoxicité et leur régulation, sont exposées aux chapitres 5 à 9. les outils écotoxicologiques (entre autres, les bioessais, les bioindicateurs, les biomarqueurs, les biosenseurs et les biotraceurs) sont présentés au chapitre 10. Enfin, tous les éléments précités d'écotoxicologie générale sont appliqués à deux études de cas, soit celle d'un effluent municipal et celle d'un lieu d'enfouissement sanitaire.</w:t>
        <w:br/>
        <w:br/>
        <w:t>Cet ouvrage général et appliqué est conçu pour des étudiants universitaires en biologie, biochimie, écologie, environnement et toxicologie ainsi que pour des professionnels gouvernementaux et industriels, concernés par la protection de l'environnement et de la santé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