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et circuits de commande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VII-52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2854005490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dispositif de sécurité/ </w:t>
            </w:r>
          </w:p>
        </w:tc>
      </w:tr>
    </w:tbl>
    <w:p>
      <w:pPr>
        <w:pStyle w:val="Heading3"/>
      </w:pPr>
      <w:r>
        <w:t>Résumé :</w:t>
      </w:r>
    </w:p>
    <w:p>
      <w:r>
        <w:t>La prise en compte des impératifs réglementaires est un enjeu technique et économique important lors de la conception des circuits de commande des machines. la technique évolue et de nouvelles solutions sont envisageables; mais se pose la question de leur acceptabilité.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