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Aménagement piscicole des eaux douces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Edition</w:t>
            </w:r>
          </w:p>
        </w:tc>
        <w:tc>
          <w:tcPr>
            <w:tcW w:type="dxa" w:w="7000"/>
          </w:tcPr>
          <w:p>
            <w:r>
              <w:t>5e éd. rev.</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VIII-589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p.p.555-563. Glossaire. Index</w:t>
            </w:r>
          </w:p>
        </w:tc>
      </w:tr>
      <w:tr>
        <w:trPr>
          <w:trHeight w:val="567"/>
        </w:trPr>
        <w:tc>
          <w:tcPr>
            <w:tcW w:type="dxa" w:w="3000"/>
          </w:tcPr>
          <w:p>
            <w:r>
              <w:t>Numéro d'Identification</w:t>
            </w:r>
          </w:p>
        </w:tc>
        <w:tc>
          <w:tcPr>
            <w:tcW w:type="dxa" w:w="7000"/>
          </w:tcPr>
          <w:p>
            <w:r>
              <w:t>2743002417</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d'eau douce/ aquaculture/ Écologie d'eau douce/ </w:t>
            </w:r>
          </w:p>
        </w:tc>
      </w:tr>
    </w:tbl>
    <w:p>
      <w:pPr>
        <w:pStyle w:val="Heading3"/>
      </w:pPr>
      <w:r>
        <w:t>Résumé :</w:t>
      </w:r>
    </w:p>
    <w:p>
      <w:r>
        <w:t>L'eau n'est pas seulement un élément, c'est également un milieu de vie étroitement tributaire de son environnement terrestre. La qualité des bassins versants conditionne celle des eaux et, en bout de chaîne, celle des animaux qui y vivent. La promulgation de la loi de 1984 sur la pêche en eau douce et la gestion des ressources piscicoles a permis en partie d'infléchir les prélèvements anarchiques et excessifs qui perturbent ce milieu. Cependant, la réalité démontre que la prise de conscience est loin d'être acquise. Fruit de 45 années d'expérience dans les pays les plus divers, Aménagement piscicole des eaux douces propose à tous ceux qui sont concernés par l'aménagement aquatique, des solutions concrètes justifiées par les données écologiques. Il concerne une classe d'animaux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