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Marais maritimes et 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Hussenot, Jérôme/ Buchet, Vincent/ Centre de recherche en écologie marine et aquaculture (L'Houmeau, Charente-Maritime)/ Institut français de recherche pour l'exploitation de la mer. Direction Ressources vivantes/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IFREMER(N°:19)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2905434899</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Agriculture traditionnelle/ Marais littoraux/ </w:t>
            </w:r>
          </w:p>
        </w:tc>
      </w:tr>
    </w:tbl>
    <w:p>
      <w:pPr>
        <w:pStyle w:val="Heading3"/>
      </w:pPr>
      <w:r>
        <w:t>Résumé :</w:t>
      </w:r>
    </w:p>
    <w:p>
      <w:r>
        <w:t>Cet ouvrage regroupe l'essentiel des communications présentées au colloque de Rochefort (juin 1996) où s'étaient rassemblés les scientifiques et professionnels de l'aquaculture marine utilisant les marais maritimes endigués, de la côte atlantique française. Quelques scientifiques européens et étrangers travaillant en marais salés, salines et lagunes ont présenté leurs régions et leurs activités. L'aquaculture a été considérée au sens le plus large du terme, incluant aussi bien les productions piscicoles, que la conchyliculture en marais, ou même la saliculture. Ces actes de colloque, en français, permettent de faire l'état de l'an sur les usages actuels et futurs en incluant les résultats récents de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