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Environnement et aquaculture T2, Aspects juridiques et réglementaires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Petit,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INRA, cop./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Un point sur / Institut national de la recherche agronomique(N°:None)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2738008739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Elevage des poissons et des vertebrés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aquaculture/ Pisciculture/ </w:t>
            </w:r>
          </w:p>
        </w:tc>
      </w:tr>
    </w:tbl>
    <w:p>
      <w:pPr>
        <w:pStyle w:val="Heading3"/>
      </w:pPr>
      <w:r>
        <w:t>Résumé :</w:t>
      </w:r>
    </w:p>
    <w:p>
      <w:r>
        <w:t>Ce second tome explore deux questions fondamentales pour l'aquaculture, le tourisme et la pêche : le droit de prélever de l'eau et l'accès aux sites proches de l'eau, en bordure de rivière comme sur le domaine public maritime. A tous les usagers de l'eau, il indiquera la marche à suivre pour obtenir une autorisation d'exploitation en bordure de rivière ou sur le littoral.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