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communications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Joindot, Michel/ Glavieux,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 p.p. Index</w:t>
            </w:r>
          </w:p>
        </w:tc>
      </w:tr>
      <w:tr>
        <w:trPr>
          <w:trHeight w:val="567"/>
        </w:trPr>
        <w:tc>
          <w:tcPr>
            <w:tcW w:type="dxa" w:w="3000"/>
          </w:tcPr>
          <w:p>
            <w:r>
              <w:t>Numéro d'Identification</w:t>
            </w:r>
          </w:p>
        </w:tc>
        <w:tc>
          <w:tcPr>
            <w:tcW w:type="dxa" w:w="7000"/>
          </w:tcPr>
          <w:p>
            <w:r>
              <w:t>9782100513345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numérique/ signal numérique/ </w:t>
            </w:r>
          </w:p>
        </w:tc>
      </w:tr>
    </w:tbl>
    <w:p>
      <w:pPr>
        <w:pStyle w:val="Heading3"/>
      </w:pPr>
      <w:r>
        <w:t>Résumé :</w:t>
      </w:r>
    </w:p>
    <w:p>
      <w:r>
        <w:t>Nous sommes dans l'ère du numérique avec ses transmissions par des «tuyaux». Ce code numérique transite d'un poste à un autre par des signaux. La manière de gérer les signaux est aussi importante que le contenu numérique. En effet, le signal numérique ne doit pas être déformé ou engendrer des erreurs lors de sa transmission. L'ouvrage débute sur un rappel de la chaîne de transmission numérique, et sur la définition du canal idéal. Ensuite, les différents paramètres (l'amplitude, la phase, la fréquence, la polarisation) du signal (l'onde) qui peuvent être modulés sont étudiés. La récupération des signaux est introduite par une étude de la synchronisation et du signal horloge. Pour finir, les techniques de codage et leurs applications sont définies. Des exemples et des exercices corrigés complètent ce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