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scientifique et symbolique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Yger, Alain/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 p.p. 417-422</w:t>
            </w:r>
          </w:p>
        </w:tc>
      </w:tr>
      <w:tr>
        <w:trPr>
          <w:trHeight w:val="567"/>
        </w:trPr>
        <w:tc>
          <w:tcPr>
            <w:tcW w:type="dxa" w:w="3000"/>
          </w:tcPr>
          <w:p>
            <w:r>
              <w:t>Numéro d'Identification</w:t>
            </w:r>
          </w:p>
        </w:tc>
        <w:tc>
          <w:tcPr>
            <w:tcW w:type="dxa" w:w="7000"/>
          </w:tcPr>
          <w:p>
            <w:r>
              <w:t>9782340006768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Calcul symbolique/ </w:t>
            </w:r>
          </w:p>
        </w:tc>
      </w:tr>
    </w:tbl>
    <w:p>
      <w:pPr>
        <w:pStyle w:val="Heading3"/>
      </w:pPr>
      <w:r>
        <w:t>Résumé :</w:t>
      </w:r>
    </w:p>
    <w:p>
      <w:r>
        <w:t>Cet ouvrage Cet ouvrage propose au niveau des deuxième et troisième années du cycle licence ou des deux années du cycle CPGE une présentation des divers éléments du programme impliquant tant le calcul symbolique que le calcul scientifique. Parallèlement à une présentation théorique des éléments de cours aussi précise et rigoureuse qu’elle puisse l’être à ce niveau du cursus, une aide à la prise en main des logiciels Maple, Sage, MATLAB et Scilab est proposée en continu au fil du texte. Le lecteur apprendra de cette manière à suivre avec l’aide du logiciel le mieux adapté la preuve d’un résultat théorique dès que celui-ci s’appuie sur une démarche algorithmique, puis il s’appropriera ce résultat pour le mettre ensuite « en situation » sur des exemples choisis.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