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Roussel, Jean 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IV-258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 : problèmes résolus(N°:None)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2100070363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w:t>
            </w:r>
          </w:p>
        </w:tc>
      </w:tr>
    </w:tbl>
    <w:p>
      <w:pPr>
        <w:pStyle w:val="Heading3"/>
      </w:pPr>
      <w:r>
        <w:t>Résumé :</w:t>
      </w:r>
    </w:p>
    <w:p>
      <w:r>
        <w:t>applications très diverses. Ces problèmes corrigés, qui font appel à des documents constructeurs, sont élaborés à partir de véritables applications industrielles structure de base d'un convertisseur statique pour moteur à courant continu à excitation indépendante ; transistor de puissance ; statocompensateur ; transport de l'énergie à courant continu ; bus électrique à hacheur série ; moteur à courant continu alimenté par un hacheur à 4 quadrants ; alimentation à découpage sans isolement galvanique ; dimensionnement d'une alimentation à découpage Buck ; onduleur de tension pour variateur de vitesse de type Vs/FS pour moteur asynchrone ; onduleur de tension à résonance pour table à induction ; motovariateur à courant continu à pont thyristor de type PD3 ; variateur de vitesse pour moteur asynchrone de type VS/F5. Ce livre est plus particulièrement destiné aux étudiants des BTS, IUT, IUP, licences, CAPES, CAPET, écoles d'ingénieurs orientés vers l'électronique de puissance. Il complète le cours d'électronique de puissance de Guy Séguier dans la même collection.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