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écologique des déchets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VAillancourt, Jean-Guy/ Séguin,Michel/ Maheu, Louis/ Contoir, Liliane/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276067599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dechets industriels / </w:t>
            </w:r>
          </w:p>
        </w:tc>
      </w:tr>
    </w:tbl>
    <w:p>
      <w:pPr>
        <w:pStyle w:val="Heading3"/>
      </w:pPr>
      <w:r>
        <w:t>Résumé :</w:t>
      </w:r>
    </w:p>
    <w:p>
      <w:r>
        <w:t>* Le livre examine la gestion des déchets comme un phénomène à la fois technique, environnemental, social et politique.</w:t>
        <w:br/>
        <w:br/>
        <w:t xml:space="preserve">* Au Québec, chaque personne génère en moyenne environ une tonne de déchets solides par an, ce qui souligne l’importance du problème. </w:t>
        <w:br/>
        <w:br/>
        <w:t xml:space="preserve">* Ce recueil réunit des textes qui font le lien entre analyse (concepts, mouvements sociaux, enjeux politiques) et terrain (actions, mobilisation citoyenne). * Les auteurs étudient comment les mouvements sociaux influencent la politique publique de gestion des déchets, comment se construit l’éco‑décision, et comment se déploient les luttes autour des déchets dangereux. </w:t>
        <w:br/>
        <w:br/>
        <w:t>* L’ouvrage s’adresse à la fois aux chercheurs en sciences sociales, enseignantes/teurs, acteurs publics et privés, et citoyens qui souhaitent comprendre les dimensions sociales et politiques de la gestion écologique des déchets.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