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guide des interfaces numériques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Rumsey, Francis/ Watkinson, John/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415 p.</w:t>
            </w:r>
          </w:p>
        </w:tc>
      </w:tr>
      <w:tr>
        <w:trPr>
          <w:trHeight w:val="567"/>
        </w:trPr>
        <w:tc>
          <w:tcPr>
            <w:tcW w:type="dxa" w:w="3000"/>
          </w:tcPr>
          <w:p>
            <w:r>
              <w:t>Illustration</w:t>
            </w:r>
          </w:p>
        </w:tc>
        <w:tc>
          <w:tcPr>
            <w:tcW w:type="dxa" w:w="7000"/>
          </w:tcPr>
          <w:p>
            <w:r>
              <w:t>iIl.,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p.p.409-415</w:t>
            </w:r>
          </w:p>
        </w:tc>
      </w:tr>
      <w:tr>
        <w:trPr>
          <w:trHeight w:val="567"/>
        </w:trPr>
        <w:tc>
          <w:tcPr>
            <w:tcW w:type="dxa" w:w="3000"/>
          </w:tcPr>
          <w:p>
            <w:r>
              <w:t>Numéro d'Identification</w:t>
            </w:r>
          </w:p>
        </w:tc>
        <w:tc>
          <w:tcPr>
            <w:tcW w:type="dxa" w:w="7000"/>
          </w:tcPr>
          <w:p>
            <w:r>
              <w:t>221255064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liaison transparente/ interface numérique/ </w:t>
            </w:r>
          </w:p>
        </w:tc>
      </w:tr>
    </w:tbl>
    <w:p>
      <w:pPr>
        <w:pStyle w:val="Heading3"/>
      </w:pPr>
      <w:r>
        <w:t>Résumé :</w:t>
      </w:r>
    </w:p>
    <w:p>
      <w:r>
        <w:t>Les domaines de la radiodiffusion, du multimédia et de la production musicale utilisent des installations qui tendent de plus en plus vers le " tout numérique ". Quelles sont les particularités des différentes interfaces audionumériques telles que AES/UER, SPDIF, SDIF, MADI et autres implémentations spécifiques aux constructeurs ? Comment faire communiquer, en dépit de différences plus ou moins subtiles, des appareils dans le domaine numérique ? Le haut degré de normalisation atteint aujourd'hui par la vidéonumérique, ainsi que le grand nombre d'appareils en service, ont amené à couvrir, dans cet ouvrage, le domaine de façon approfondie, traitant aussi bien des techniques de mesure de fiabilité que l'audio hébergé, la détection et le traitement des erreurs, les conséquences de l'introduction du format 16/9, l'analyse de signature, etc. Le Guide des interfaces numériques est le véritable outil de référence de tous ceux qui ont à comprendre et maîtriser ces nouvelles techniques.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