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pour l'évaluation des ressources halieutiques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Jacques/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graph.,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Polytech(N°:None)</w:t>
            </w:r>
          </w:p>
        </w:tc>
      </w:tr>
      <w:tr>
        <w:trPr>
          <w:trHeight w:val="567"/>
        </w:trPr>
        <w:tc>
          <w:tcPr>
            <w:tcW w:type="dxa" w:w="3000"/>
          </w:tcPr>
          <w:p>
            <w:r>
              <w:t>Notes Générales</w:t>
            </w:r>
          </w:p>
        </w:tc>
        <w:tc>
          <w:tcPr>
            <w:tcW w:type="dxa" w:w="7000"/>
          </w:tcPr>
          <w:p>
            <w:r>
              <w:t>Bibliogr. p.p. 133-275</w:t>
            </w:r>
          </w:p>
        </w:tc>
      </w:tr>
      <w:tr>
        <w:trPr>
          <w:trHeight w:val="567"/>
        </w:trPr>
        <w:tc>
          <w:tcPr>
            <w:tcW w:type="dxa" w:w="3000"/>
          </w:tcPr>
          <w:p>
            <w:r>
              <w:t>Numéro d'Identification</w:t>
            </w:r>
          </w:p>
        </w:tc>
        <w:tc>
          <w:tcPr>
            <w:tcW w:type="dxa" w:w="7000"/>
          </w:tcPr>
          <w:p>
            <w:r>
              <w:t>2854284445</w:t>
            </w:r>
          </w:p>
        </w:tc>
      </w:tr>
      <w:tr>
        <w:trPr>
          <w:trHeight w:val="567"/>
        </w:trPr>
        <w:tc>
          <w:tcPr>
            <w:tcW w:type="dxa" w:w="3000"/>
          </w:tcPr>
          <w:p>
            <w:r>
              <w:t>Thème</w:t>
            </w:r>
          </w:p>
        </w:tc>
        <w:tc>
          <w:tcPr>
            <w:tcW w:type="dxa" w:w="7000"/>
          </w:tcPr>
          <w:p>
            <w:r>
              <w:t>639</w:t>
            </w:r>
          </w:p>
        </w:tc>
      </w:tr>
      <w:tr>
        <w:trPr>
          <w:trHeight w:val="567"/>
        </w:trPr>
        <w:tc>
          <w:tcPr>
            <w:tcW w:type="dxa" w:w="3000"/>
          </w:tcPr>
          <w:p>
            <w:r>
              <w:t>Sujet(s)</w:t>
            </w:r>
          </w:p>
        </w:tc>
        <w:tc>
          <w:tcPr>
            <w:tcW w:type="dxa" w:w="7000"/>
          </w:tcPr>
          <w:p>
            <w:r>
              <w:t xml:space="preserve">Ressources halieutiques/ évaluation/ </w:t>
            </w:r>
          </w:p>
        </w:tc>
      </w:tr>
    </w:tbl>
    <w:p>
      <w:pPr>
        <w:pStyle w:val="Heading3"/>
      </w:pPr>
      <w:r>
        <w:t>Résumé :</w:t>
      </w:r>
    </w:p>
    <w:p>
      <w:r>
        <w:t>Les théories et techniques de recherches en dynamique des populations de poissons et en aménagement des pêches ont beaucoup évolué ces dernières années. Les concepts de base de la théorie mathématique des pêches de Beverton et Holt (l957), de. Ricker (l975) et de Gulland (1977) continuent à être le fondement de l'aménagement des pêcheries.</w:t>
        <w:br/>
        <w:br/>
        <w:t>Toutefois, de nouveaux concepts ont été développés pour éclairer cette théorie, en préciser les limites et en faciliter la mise en oeuvre à l'aide d'outils informatiques. Nombre de ces concepts et méthodes d'étude des populations monospécifiques sont basés sur l'examen des structures de tailles observées sur des échantillons des prises des pêcheurs.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