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 et alimentation des poissons et crustacés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Guillaume, J./ Kaushik, S./ Bergot, P./ Métailler, R./ </w:t>
            </w:r>
          </w:p>
        </w:tc>
      </w:tr>
      <w:tr>
        <w:trPr>
          <w:trHeight w:val="567"/>
        </w:trPr>
        <w:tc>
          <w:tcPr>
            <w:tcW w:type="dxa" w:w="3000"/>
          </w:tcPr>
          <w:p>
            <w:r>
              <w:t>Adresse bib.</w:t>
            </w:r>
          </w:p>
        </w:tc>
        <w:tc>
          <w:tcPr>
            <w:tcW w:type="dxa" w:w="7000"/>
          </w:tcPr>
          <w:p>
            <w:r>
              <w:t xml:space="preserve">Institut national de la recherche agronomique/ Institut français de recherche pour l'exploitation de la mer/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 labo au terrain(N°:None)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2738008100</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crustacés/ poissons/ alimentation/ aquaculture/ </w:t>
            </w:r>
          </w:p>
        </w:tc>
      </w:tr>
    </w:tbl>
    <w:p>
      <w:pPr>
        <w:pStyle w:val="Heading3"/>
      </w:pPr>
      <w:r>
        <w:t>Résumé :</w:t>
      </w:r>
    </w:p>
    <w:p>
      <w:r>
        <w:t>Cet ouvrage de synthèse offre les principes fondamentaux de la nutrition des poissons et des crustacés comme les données nécessaires pour la formulation et la pratique de l'alimentation. Rappelant les connaissances indispensables en anatomie, physiologie digestive et biochimie, il expose de façon complète les besoins en énergie, nutriments et caroténoïdes des animaux aquacoles ainsi que les particularités nutritionnelles et alimentaires des larves et des juvéniles ; il donne en annexe les normes alimentaires, courbes de croissance type et tables de composition des matières premières utilisées en aquaculture. Les scientifiques y trouveront l'état complet des connaissances sur le sujet, les enseignants et étudiants une présentation pédagogique et illustrée ; le technicien et le professionnel pourront passer directement à l'application en 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