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Interactions durables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Claude/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d'écologie(N°:None)</w:t>
            </w:r>
          </w:p>
        </w:tc>
      </w:tr>
      <w:tr>
        <w:trPr>
          <w:trHeight w:val="567"/>
        </w:trPr>
        <w:tc>
          <w:tcPr>
            <w:tcW w:type="dxa" w:w="3000"/>
          </w:tcPr>
          <w:p>
            <w:r>
              <w:t>Numéro d'Identification</w:t>
            </w:r>
          </w:p>
        </w:tc>
        <w:tc>
          <w:tcPr>
            <w:tcW w:type="dxa" w:w="7000"/>
          </w:tcPr>
          <w:p>
            <w:r>
              <w:t>2225848009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parasitisme/ </w:t>
            </w:r>
          </w:p>
        </w:tc>
      </w:tr>
    </w:tbl>
    <w:p>
      <w:pPr>
        <w:pStyle w:val="Heading3"/>
      </w:pPr>
      <w:r>
        <w:t>Résumé :</w:t>
      </w:r>
    </w:p>
    <w:p>
      <w:r>
        <w:t>Ce sujet met en évidence comment les relations parasitaires, loin d’être de simples interactions néfastes, s’inscrivent dans la durée en façonnant l’écologie des espèces et en orientant leur évolution, en établissant des équilibres dynamiques entre parasites et hôtes.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