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Aquaculture et environnement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Faculté de droit et des sciences politiques de Nantes/ Institut national de recherche agronomique/ Institut franc̜ais de recherche pour l'exploitation de la mer/ Laboratoire de physiologie des poissons/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de l'IFREMER/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Actes de colloques / IFREMER(N°:16)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2905434562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Elevage des poissons et des vertebrés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aquaculture/ environnement/ aspect économique/ </w:t>
            </w:r>
          </w:p>
        </w:tc>
      </w:tr>
    </w:tbl>
    <w:p>
      <w:pPr>
        <w:pStyle w:val="Heading3"/>
      </w:pPr>
      <w:r>
        <w:t>Résumé :</w:t>
      </w:r>
    </w:p>
    <w:p>
      <w:r>
        <w:t>Ce rapport relate de l'aquaculture en France, de l'environnement juridique de l'aquaculture ainsi que de la pisciculture et de la qualité de l'environnement ainsi que des réglementations et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