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botanique.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 Abbayes, H./ Feldmann, J./ Chadefaud, M./ Gaussen,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XII-722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sciences biologiques(N°:None)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693-722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2225457719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paroi cellulaire/ vacuole/ botanique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L’ouvrage fait partie d’un traité de botanique et de physiologie végétale, traitant notamment l’organographie, l’anatomie et la physiologie des végétaux. ([Eyrolles][1])</w:t>
        <w:br/>
        <w:br/>
        <w:t xml:space="preserve"> Le « tome I / végétaux inférieurs » se concentre sur les **végétaux inembryonnés** (ou cryptogames) — c’est-à-dire les algues, champignons, lichens, mousses, fougères, etc. ([Gallica][2])</w:t>
        <w:br/>
        <w:br/>
        <w:t>L’auteur divise les végétaux en grands groupes selon leur organisation, leur mode de reproduction, et d’autres caractères anatomiques. ([Gallica][2])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