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botanique.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 Abbayes, H./ Feldmann, J./ Chadefaud, M./ Gaussen,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XII-722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sciences biologiques(N°:None)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693-722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2225457719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paroi cellulaire/ vacuole/ botanique générale/ </w:t>
            </w:r>
          </w:p>
        </w:tc>
      </w:tr>
    </w:tbl>
    <w:p>
      <w:pPr>
        <w:pStyle w:val="Heading3"/>
      </w:pPr>
      <w:r>
        <w:t>Résumé :</w:t>
      </w:r>
    </w:p>
    <w:p>
      <w:r>
        <w:t>L’ouvrage fait partie d’un traité de botanique et de physiologie végétale, traitant notamment l’organographie, l’anatomie et la physiologie des végétaux. ([Eyrolles][1])</w:t>
        <w:br/>
        <w:br/>
        <w:t xml:space="preserve"> Le « tome I / végétaux inférieurs » se concentre sur les **végétaux inembryonnés** (ou cryptogames) — c’est-à-dire les algues, champignons, lichens, mousses, fougères, etc. ([Gallica][2])</w:t>
        <w:br/>
        <w:br/>
        <w:t>L’auteur divise les végétaux en grands groupes selon leur organisation, leur mode de reproduction, et d’autres caractères anatomiques. ([Gallica][2])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