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Evaluation comparative des propriétés biologiques et phytochimiques des extraits de deux plantes médicinales appartenant a la famille des amaranthaceae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Amamra, Amani/ Berredjem ,Hajira/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Université Badji Mokhtar 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Biochimie/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activité antibactérienne et antioxydante/ propriété hémolytique/ </w:t>
            </w:r>
          </w:p>
        </w:tc>
      </w:tr>
    </w:tbl>
    <w:p>
      <w:pPr>
        <w:pStyle w:val="Heading3"/>
      </w:pPr>
      <w:r>
        <w:t>Résumé :</w:t>
      </w:r>
    </w:p>
    <w:p>
      <w:r>
        <w:t>Cette étude a porté sur l’évaluation des caractéristiques biologiques et phytochimiques des feuilles d’Haloxylon scoparium et d’Atriplex halimus, récoltées dans la région algérienne d’Adrar. Les substances biologiquement actives ont été extraites à partir d’extraits aqueux des feuilles par infusion. L’efficacité antimicrobienne a été testée contre plusieurs souches de référence et cliniques via la méthode de diffusion sur disque et la méthode des puits. Par ailleurs, les activités antioxydantes ont été évaluées à travers les tests DPPH et FRAP, tandis que l’activité hémolytique a été explorée pour évaluer la toxicité potentielle des extraits. Les résultats ont révélé une forte abondance de composants minéraux et phytochimiques dans les deux espèces étudiées.</w:t>
        <w:br/>
        <w:br/>
        <w:t>Atriplex halimus a présenté les valeurs les plus élevées d’activité antioxydante, avec des valeurs IC50 de 1,69 ± 0,67 mg/g pour le test DPPH et 3,20 ± 0,04 mg/g pour le test FRAP. Sur le plan antibactérien, les extraits ont démontré une activité notable, surpassant celle d’antibiotiques conventionnels à une concentration de 25 mg/mL, avec des zones d’inhibition variant de 8 à 40 mm selon les souches testées. Les concentrations 100 mg/mL et 75 mg/mL ont montré les meilleures activités. La CMI a été enregistré pour la concentration 6,25 mg/Ml. L’activité hémolytique n’a révélé aucun signe de toxicité, ce qui suggère une bonne tolérance des extraits.</w:t>
        <w:br/>
        <w:br/>
        <w:t>Ces résultats confirment que les plantes étudiées possèdent des propriétés antibactériennes et antioxydantes prometteuses, justifiant leur potentiel comme sources naturelles pour le développement de nouveaux agents thérapeutiques.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