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en identification radiofréquence et cartes à puce sans contact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Paret,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2100057782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systèmes d'identification/ radiofréquences/ </w:t>
            </w:r>
          </w:p>
        </w:tc>
      </w:tr>
    </w:tbl>
    <w:p>
      <w:pPr>
        <w:pStyle w:val="Heading3"/>
      </w:pPr>
      <w:r>
        <w:t>Résumé :</w:t>
      </w:r>
    </w:p>
    <w:p>
      <w:r>
        <w:t>L'identification radiofréquence et le sans contact en général se répandent très rapidement dans différents secteurs. Le but de ce second ouvrage sur le sujet est d'offrir les bases les plus complètes sur les technologies du «sans contact» et les différentes manières de les mettre en oeuvre de façon concrète. Il s'agit d'un recueil d'applications industrielles complètes autour des étiquettes, transcodeurs, cartes à puce sans contact et de leurs lecteurs ; il vous permettra en outre de concevoir vos propres applications. Ce volume Applications, tout comme le précédent, est principalement destiné aux concepteurs électroniciens ainsi qu'aux utilisateurs de ces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