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céllulaire appliquée à la clinique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Ghouini, Ahmed/ Rahal, Lotfi/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9789961018675</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structure de la cellule/ Membrane plasmique/ </w:t>
            </w:r>
          </w:p>
        </w:tc>
      </w:tr>
    </w:tbl>
    <w:p>
      <w:pPr>
        <w:pStyle w:val="Heading3"/>
      </w:pPr>
      <w:r>
        <w:t>Résumé :</w:t>
      </w:r>
    </w:p>
    <w:p>
      <w:r>
        <w:t>Dans cet ouvrage, un rappel de la structure de la cellule, ses organites, la membrane plasmique avec les différents types de communications cellulaires, est effectué avant l’abord des différentes pathologies ayant pour origine des altérations au niveau cellulaire ou moléculaire. L’oxygène moléculaire qui est un carburant indispensable à la vie des cellules aérobies peut paradoxalement avoir des effets très néfastes et entraîner la destruction de certains constituants cellulaires; ainsi l’étude du stress oxydatif au niveau cellulaire et ses implications dans certaines affections cardiovasculaires, neurodégénératives, métaboliques et le vieillissement, a été également introduite, dans ce document.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