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Identification radiofréquence et cartes à puce sans contact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Paret, 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EEA. Série Technologie électronique(N°:None)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2100042637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d'identification/ radiofréquences/ </w:t>
            </w:r>
          </w:p>
        </w:tc>
      </w:tr>
    </w:tbl>
    <w:p>
      <w:pPr>
        <w:pStyle w:val="Heading3"/>
      </w:pPr>
      <w:r>
        <w:t>Résumé :</w:t>
      </w:r>
    </w:p>
    <w:p>
      <w:r>
        <w:t>L'identification sans contact est en pleine effervescence. Qu'il s'appuie sur une liaison optique, infrarouge, hyperfréquence ou plus fréquemment sur une liaison radiofréquence, le " sans contact " est appelé à un avenir rayonnant. Badges d'accès, cartes bancaires, télépaiement, identification de bagages, identification de livres en bibliothèque, localisation de matériels en magasin, suivi du stock en rayon et changement de prix à distance, voilà un petit échantillon de ce que le " sans contact " autorise. Le but de ce premier ouvrage sur le sujet - le second étant dédié aux applications - est d'offrir un panorama le plus complet possible concernant ce domaine d'activité. Il s'agit donc d'une dense introduction technique où tous les aspects du " sans contact " sont étudiés et décortiqués par un des plus grands experts actuels sur le sujet.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