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L'épidémiologie en pathologie végétale, mycoses aériennes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Rapilly, Rapilly,/ </w:t>
            </w:r>
          </w:p>
        </w:tc>
      </w:tr>
      <w:tr>
        <w:trPr>
          <w:trHeight w:val="567"/>
        </w:trPr>
        <w:tc>
          <w:tcPr>
            <w:tcW w:type="dxa" w:w="3000"/>
          </w:tcPr>
          <w:p>
            <w:r>
              <w:t>Adresse bib.</w:t>
            </w:r>
          </w:p>
        </w:tc>
        <w:tc>
          <w:tcPr>
            <w:tcW w:type="dxa" w:w="7000"/>
          </w:tcPr>
          <w:p>
            <w:r>
              <w:t xml:space="preserve">Institut national de la recherche scientifique/ </w:t>
            </w:r>
          </w:p>
        </w:tc>
      </w:tr>
      <w:tr>
        <w:trPr>
          <w:trHeight w:val="567"/>
        </w:trPr>
        <w:tc>
          <w:tcPr>
            <w:tcW w:type="dxa" w:w="3000"/>
          </w:tcPr>
          <w:p>
            <w:r>
              <w:t>Nombre de Pages</w:t>
            </w:r>
          </w:p>
        </w:tc>
        <w:tc>
          <w:tcPr>
            <w:tcW w:type="dxa" w:w="7000"/>
          </w:tcPr>
          <w:p>
            <w:r>
              <w:t>XII-317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Mieux comprendre(N°:None)</w:t>
            </w:r>
          </w:p>
        </w:tc>
      </w:tr>
      <w:tr>
        <w:trPr>
          <w:trHeight w:val="567"/>
        </w:trPr>
        <w:tc>
          <w:tcPr>
            <w:tcW w:type="dxa" w:w="3000"/>
          </w:tcPr>
          <w:p>
            <w:r>
              <w:t>Notes Générales</w:t>
            </w:r>
          </w:p>
        </w:tc>
        <w:tc>
          <w:tcPr>
            <w:tcW w:type="dxa" w:w="7000"/>
          </w:tcPr>
          <w:p>
            <w:r>
              <w:t>Bibliogr. p.p  279-303</w:t>
            </w:r>
          </w:p>
        </w:tc>
      </w:tr>
      <w:tr>
        <w:trPr>
          <w:trHeight w:val="567"/>
        </w:trPr>
        <w:tc>
          <w:tcPr>
            <w:tcW w:type="dxa" w:w="3000"/>
          </w:tcPr>
          <w:p>
            <w:r>
              <w:t>Numéro d'Identification</w:t>
            </w:r>
          </w:p>
        </w:tc>
        <w:tc>
          <w:tcPr>
            <w:tcW w:type="dxa" w:w="7000"/>
          </w:tcPr>
          <w:p>
            <w:r>
              <w:t>2738002978</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géostatistiques/ seuil économique/ quantification de la maladie/ </w:t>
            </w:r>
          </w:p>
        </w:tc>
      </w:tr>
    </w:tbl>
    <w:p>
      <w:pPr>
        <w:pStyle w:val="Heading3"/>
      </w:pPr>
      <w:r>
        <w:t>Résumé :</w:t>
      </w:r>
    </w:p>
    <w:p>
      <w:r>
        <w:t>Cet ouvrage présente les approches biologiques nécessaires à la compréhension et à la maîtrise d'une épidémie provoquée par un champignon parasite des organes aériens d'une culture. Il présente ces approches au niveau de chacune des séquences qui régit les relations entre une population parasitaire et un peuplement végétal, mais aussi lors de la répétition, dans le temps, du cycle de base. Il dégage, à leurs différents niveaux, les connaissances valorisables dans la gestion phytosanitaire des peuplements végétaux et permet aussi d'apprécier le risque parasitaire d'un système de culture. Il est indispensable aux enseignants, étudiants et professionnels du phytosanitaire.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