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 et CSS3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Lancker, 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528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511-528</w:t>
            </w:r>
          </w:p>
        </w:tc>
      </w:tr>
      <w:tr>
        <w:trPr>
          <w:trHeight w:val="567"/>
        </w:trPr>
        <w:tc>
          <w:tcPr>
            <w:tcW w:type="dxa" w:w="3000"/>
          </w:tcPr>
          <w:p>
            <w:r>
              <w:t>Numéro d'Identification</w:t>
            </w:r>
          </w:p>
        </w:tc>
        <w:tc>
          <w:tcPr>
            <w:tcW w:type="dxa" w:w="7000"/>
          </w:tcPr>
          <w:p>
            <w:r>
              <w:t>9782746079700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HTML5/ CSS3/ </w:t>
            </w:r>
          </w:p>
        </w:tc>
      </w:tr>
    </w:tbl>
    <w:p>
      <w:pPr>
        <w:pStyle w:val="Heading3"/>
      </w:pPr>
      <w:r>
        <w:t>Résumé :</w:t>
      </w:r>
    </w:p>
    <w:p>
      <w:r>
        <w:t>Cet ouvrage  s'adresse à toute personne appelée à développer, mettre en place, faire vivre un site Web. En effet, pour débuter mais surtout pour progresser dans la conception de sites, il faut inévitablement passer par une bonne compréhension et une parfaite maîtrise du code source des applications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