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Répertoire général des aliments. T4, Table de composition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informatique sur la qualité des aliments (Paris)/ Centre national d'études vétérinaires et alimentaires (France)/ Lamand, Michel/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XIX-199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2738007007</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Teneur en minéraux/ Aliments -Composition/ </w:t>
            </w:r>
          </w:p>
        </w:tc>
      </w:tr>
    </w:tbl>
    <w:p>
      <w:pPr>
        <w:pStyle w:val="Heading3"/>
      </w:pPr>
      <w:r>
        <w:t>Résumé :</w:t>
      </w:r>
    </w:p>
    <w:p>
      <w:r>
        <w:t>Les données analytiques relatives à la composition en éléments minéraux des aliments de consommation courante étaient jusque lors très peu nombreuses. Cet ouvrage synthétise les mesures originales effectuées par le Laboratoire des maladies nutritionnelles du Centre de recherches INRA et le Centre informatique sur la qualité des aliments. Ces résultats ont été complétés par les données issues de la littérature scientifique. La composition de 226 aliments usuels est ici analysée pour chacun des éléments minéraux cuivre, fer, iode, manganèse, sélénium, zinc, calcium, magnésium, potassium, phosphore et sodium.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