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des aliments et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Lightfoot, Nigel Francis/ Maier, Eddie Arthur/ </w:t>
            </w:r>
          </w:p>
        </w:tc>
      </w:tr>
      <w:tr>
        <w:trPr>
          <w:trHeight w:val="567"/>
        </w:trPr>
        <w:tc>
          <w:tcPr>
            <w:tcW w:type="dxa" w:w="3000"/>
          </w:tcPr>
          <w:p>
            <w:r>
              <w:t>Adresse bib.</w:t>
            </w:r>
          </w:p>
        </w:tc>
        <w:tc>
          <w:tcPr>
            <w:tcW w:type="dxa" w:w="7000"/>
          </w:tcPr>
          <w:p>
            <w:r>
              <w:t xml:space="preserve">Contemporary publishing international-GB science publ./ </w:t>
            </w:r>
          </w:p>
        </w:tc>
      </w:tr>
      <w:tr>
        <w:trPr>
          <w:trHeight w:val="567"/>
        </w:trPr>
        <w:tc>
          <w:tcPr>
            <w:tcW w:type="dxa" w:w="3000"/>
          </w:tcPr>
          <w:p>
            <w:r>
              <w:t>Nombre de Pages</w:t>
            </w:r>
          </w:p>
        </w:tc>
        <w:tc>
          <w:tcPr>
            <w:tcW w:type="dxa" w:w="7000"/>
          </w:tcPr>
          <w:p>
            <w:r>
              <w:t>XVI-186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2847030085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Indicateurs de la qualité de l'eau/ Industries agroalimentaires/ Contrôle de la qualité/ </w:t>
            </w:r>
          </w:p>
        </w:tc>
      </w:tr>
    </w:tbl>
    <w:p>
      <w:pPr>
        <w:pStyle w:val="Heading3"/>
      </w:pPr>
      <w:r>
        <w:t>Résumé :</w:t>
      </w:r>
    </w:p>
    <w:p>
      <w:r>
        <w:t>Des dizaines de milliers d'analyses microbiologiques de l'eau, de l'environnement et des produits alimentaires, sont réalisées quotidiennement dans les laboratoires européens.§Les laboratoires d'unité de production contrôlent la qualité microbiologique des matières premières, l'efficacité des procédés de traitement, un certain nombre de points de contrôle dans les chaînes de fabrication ainsi que la qualité des produits finis. Les laboratoires publics surveillent la qualité des produits alimentaires, de l'eau potable et des eaux destinées aux baignades et aux activités de loisirs, afin de déterminer si elle satisfait aux réglementations nationales ou internationales. §Dans ce contexte, la mise en place de procédures d'assurance et de contrôle qualité, incluant notamment l'utilisation de matériaux de référence microbiologiques, joue un rôle fondamental dans la fiabilité et la traçabilité des résultats ainsi que dans l'accréditation des laboratoires. Ce guide, fruit d'une collaboration pan-européenne, et destiné tout autant aux microbiologistes de terrain qu'aux responsables de laboratoires, en explore de manière structurée les différentes composantes.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