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monde végétal, du génome à la plante entière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ACADEMIE DES SCIENCES/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XCVIII-220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Rapport sur la science et la technologie ; 10(N°:None)</w:t>
            </w:r>
          </w:p>
        </w:tc>
      </w:tr>
      <w:tr>
        <w:trPr>
          <w:trHeight w:val="567"/>
        </w:trPr>
        <w:tc>
          <w:tcPr>
            <w:tcW w:type="dxa" w:w="3000"/>
          </w:tcPr>
          <w:p>
            <w:r>
              <w:t>Numéro d'Identification</w:t>
            </w:r>
          </w:p>
        </w:tc>
        <w:tc>
          <w:tcPr>
            <w:tcW w:type="dxa" w:w="7000"/>
          </w:tcPr>
          <w:p>
            <w:r>
              <w:t>2743004282</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biodiversité végétale/ statut hydrominéral/ pathologie végétale/ </w:t>
            </w:r>
          </w:p>
        </w:tc>
      </w:tr>
    </w:tbl>
    <w:p>
      <w:pPr>
        <w:pStyle w:val="Heading3"/>
      </w:pPr>
      <w:r>
        <w:t>Résumé :</w:t>
      </w:r>
    </w:p>
    <w:p>
      <w:r>
        <w:t>Cet ouvrage présente l'actualité des recherches sur le monde végétal, en se limitant aux plantes supérieures à cause de leur importance en agriculture.</w:t>
        <w:br/>
        <w:br/>
        <w:t>Il fait le point des toutes dernières avancées dans la connaissance de leur génome, de leur reproduction et leur développement, de leur métabolisme, de leur statut hydrominéral et de leur capacité de réponse aux contraintes environnementales, de même que des interactions avec les facteurs biotiques du milieu. Sont abordées également les questions de la biodiversité, de la transgenèse, et des conséquences en termes d'applications dans le domaine agricole.</w:t>
        <w:br/>
        <w:br/>
        <w:t>Dans le but de garantir le meilleur développement des sciences végétales pour le bénéfice même de la société, les auteurs présentent différents ordres de recommandations, en termes d'orientations scientifiques, d'organisation de la recherche, de formation, et de réponse à la demande sociale.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