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Aranéides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Lemouchi, Ahmed/ Adjami, Yasmine/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diversité/ forêt de chêne/ </w:t>
            </w:r>
          </w:p>
        </w:tc>
      </w:tr>
    </w:tbl>
    <w:p>
      <w:pPr>
        <w:pStyle w:val="Heading3"/>
      </w:pPr>
      <w:r>
        <w:t>Résumé :</w:t>
      </w:r>
    </w:p>
    <w:p>
      <w:r>
        <w:t>En Algérie, les araignées sont des arthropodes mal connus et peu étudiés, et il manque encore des informations suffisantes concernant leur biodiversité. Par conséquent, notre travail constitue une contribution à la connaissance des araignées dépendantes des forêts du nord-est de l'Algérie. Les araignées ont été échantillonnées sur une période de 12 mois (2020–2021) dans trois habitats différents (forêt de chêne-liège, forêt de chêne kermès et forêt de chêne zéen) du nord-est de l'Algérie. Nous avons utilisé une combinaison de méthodes pour obtenir des échantillons représentatifs de la communauté complète des araignées sur les sites donnés.</w:t>
        <w:br/>
        <w:br/>
        <w:t>Cette étude a évalué la phénologie des araignées, leur abondance, la composition des espèces, l'inventaire de la richesse spécifique, la diversité fonctionnelle et l'influence potentielle des habitats sur ces paramètres. L'étude taxonomique a révélé 61 espèces appartenant à 22 familles. Parmi ces 22 familles trouvées dans les zones d'étude, les Theridiidae sont les plus représentées avec 09 espèces (15%), suivies par les Gnaphosidae et Linyphiidae avec 08 espèces (13%), et les Araneidae et Lycosidae avec 7 espèces (11%). L'indice de Shannon et l'équité de Pielou montrent une diversité très importante variant entre les types de forêt. Les courbes d'accumulation des espèces n'ont pas atteint une asymptote dans les trois sites regroupés pendant notre période d'étude, indiquant la possibilité de trouver des espèces d'araignées supplémentaires qui n'ont pas été inventoriées. L'indice de similarité entre les différents sites a montré que la similarité la plus importante a été trouvée entre la forêt de chêne-liège et la forêt de chêne kermès avec une similarité de 12,24% et 21,81% pour les indices de Jaccard et Sorensen, respectivement. La classification des araignées a abouti à huit guildes fonctionnelles basées sur leur mode de recherche de nourriture, et la catégorie des tisseuses de toiles en nappe était la guilde alimentaire la plus riche et la plus abondante dans tous les sites avec 21,6% des captures totales. Nos résultats sur la phénologie des espèces d'araignées étaient similaires à d'autres études en Algérie. Ce travail met en lumière la composition et l'écologie des araignées dans les forêts du nord-est de l'Algérie. Des recherches supplémentaires sur ce taxon intéressant sont nécessaires pour les études futures.</w:t>
        <w:br/>
        <w:br/>
        <w:t>Des investigations plus approfondies sont nécessaires pour mieux comprendre la conservation de ce patrimoine biologique, notamment en ce qui concerne les impacts négatifs et les changements qui perturbent leurs fonctions essentielles.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