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des aliments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Frénot, Marlène/ Vierling, Elisabeth/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Centre régional de documentation pédagogique d'Aquitaine/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Biosciences et techniques. Sciences des aliments(N°:None)</w:t>
            </w:r>
          </w:p>
        </w:tc>
      </w:tr>
      <w:tr>
        <w:trPr>
          <w:trHeight w:val="567"/>
        </w:trPr>
        <w:tc>
          <w:tcPr>
            <w:tcW w:type="dxa" w:w="3000"/>
          </w:tcPr>
          <w:p>
            <w:r>
              <w:t>Numéro d'Identification</w:t>
            </w:r>
          </w:p>
        </w:tc>
        <w:tc>
          <w:tcPr>
            <w:tcW w:type="dxa" w:w="7000"/>
          </w:tcPr>
          <w:p>
            <w:r>
              <w:t>2704007187</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Aliments/ Diététique/ </w:t>
            </w:r>
          </w:p>
        </w:tc>
      </w:tr>
    </w:tbl>
    <w:p>
      <w:pPr>
        <w:pStyle w:val="Heading3"/>
      </w:pPr>
      <w:r>
        <w:t>Résumé :</w:t>
      </w:r>
    </w:p>
    <w:p>
      <w:r>
        <w:t>La première partie est consacrée à l'étude des nutriments : eau, macro et micronutriments, et à leur biodisponibilité. Elle a pour objectif de fournir les connaissances de biochimie nécessaires à une approche raisonnée des problèmes relatifs à l'alimentation. La deuxième partie développe de façon synthétique le thème de la diététique du bien portant : enfant, adolescent, adulte... Elle s'appuie sur une analyse réfléchie des rations recommandées par les instances nationales et internationales. Elle est élargie aux nouveaux concepts résultant des évolutions des modes de vie, de la technologie alimentaire et de la distribution ainsi que des contextes psycho-socio-professionnels. La troisième partie donne les tables et valeurs de référence en matière de diététique. Deuxième ouvrage d'une série consacrée aux sciences des aliments, ce livre concerne les étudiants préparant les BTS Diététique, BTS Economie sociale et familiale, BTS Hôtellerie restauration, BTS Qualité dans les industries alimentaires et bio-industries, BTS Biochimiste, BTSA Industries agro-alimentaires, et le DUT Biologie appliquée. Il s'adresse aussi aux professeurs enseignant dans ces sections ainsi qu'en Baccalauréat professionnel Bio-industries de transformation, BEP Bioservices, BEP Carrières sanitaires et sociales, Baccalauréat STL Biochimie génie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