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Écophysiologie végétale,Équipe d'écophysiologie des petits fruitiers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leclerc, J-C/ </w:t>
            </w:r>
          </w:p>
        </w:tc>
      </w:tr>
      <w:tr>
        <w:trPr>
          <w:trHeight w:val="567"/>
        </w:trPr>
        <w:tc>
          <w:tcPr>
            <w:tcW w:type="dxa" w:w="3000"/>
          </w:tcPr>
          <w:p>
            <w:r>
              <w:t>Adresse bib.</w:t>
            </w:r>
          </w:p>
        </w:tc>
        <w:tc>
          <w:tcPr>
            <w:tcW w:type="dxa" w:w="7000"/>
          </w:tcPr>
          <w:p>
            <w:r>
              <w:t xml:space="preserve">Université de Saint-Etienne/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 261-272 Index p.p 273-277</w:t>
            </w:r>
          </w:p>
        </w:tc>
      </w:tr>
      <w:tr>
        <w:trPr>
          <w:trHeight w:val="567"/>
        </w:trPr>
        <w:tc>
          <w:tcPr>
            <w:tcW w:type="dxa" w:w="3000"/>
          </w:tcPr>
          <w:p>
            <w:r>
              <w:t>Numéro d'Identification</w:t>
            </w:r>
          </w:p>
        </w:tc>
        <w:tc>
          <w:tcPr>
            <w:tcW w:type="dxa" w:w="7000"/>
          </w:tcPr>
          <w:p>
            <w:r>
              <w:t>2862721638</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transpiration/ nutrition minérale/ absorption racinaire/ </w:t>
            </w:r>
          </w:p>
        </w:tc>
      </w:tr>
    </w:tbl>
    <w:p>
      <w:pPr>
        <w:pStyle w:val="Heading3"/>
      </w:pPr>
      <w:r>
        <w:t>Résumé :</w:t>
      </w:r>
    </w:p>
    <w:p>
      <w:r>
        <w:t>Ce livre expose les relations des végétaux avec leurs milieux, des mécanismes en sont expliqués. Les étudiants de maîtrise et de DEA y trouveront un texte court, illustré de nombreux tableaux et figures, pour s'initier à l'analyse de résultats. Dans l'optique des changements actuels du climat de la terre, une attention particulière est accordée aux situations de stress et aux relations entre les différentes espèces. L'importance du sujet doit aussi inciter les professeurs de l'enseignement secondaire à utiliser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