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Fish as food. V 3</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Borgström, Georg/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489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fish as food/ </w:t>
            </w:r>
          </w:p>
        </w:tc>
      </w:tr>
    </w:tbl>
    <w:p>
      <w:pPr>
        <w:pStyle w:val="Heading3"/>
      </w:pPr>
      <w:r>
        <w:t>Résumé :</w:t>
      </w:r>
    </w:p>
    <w:p>
      <w:r>
        <w:t>Valeur nutritionnelle du poisson dans l’alimentation humaine, incluant les effets des vitamines, des minéraux, des acides aminés.  Impacts des procédés de transformation, de stockage, etc., sur les qualités nutritives et hygiéniques du poisson. * Sécurité sanitaire : intoxications liées au poisson et aux produits dérivés, la contamination bactériologique, les polluants, autres dangers possibles. * Utilisation optimale des sous-produits de la pêche, comme les déchets transformés en farine de poisson,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