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Guignard, J.L/ </w:t>
            </w:r>
          </w:p>
        </w:tc>
      </w:tr>
      <w:tr>
        <w:trPr>
          <w:trHeight w:val="567"/>
        </w:trPr>
        <w:tc>
          <w:tcPr>
            <w:tcW w:type="dxa" w:w="3000"/>
          </w:tcPr>
          <w:p>
            <w:r>
              <w:t>Edition</w:t>
            </w:r>
          </w:p>
        </w:tc>
        <w:tc>
          <w:tcPr>
            <w:tcW w:type="dxa" w:w="7000"/>
          </w:tcPr>
          <w:p>
            <w:r>
              <w:t>11e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XVI-278 p.</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Abrégés de pharmacie(N°:None)</w:t>
            </w:r>
          </w:p>
        </w:tc>
      </w:tr>
      <w:tr>
        <w:trPr>
          <w:trHeight w:val="567"/>
        </w:trPr>
        <w:tc>
          <w:tcPr>
            <w:tcW w:type="dxa" w:w="3000"/>
          </w:tcPr>
          <w:p>
            <w:r>
              <w:t>Notes Générales</w:t>
            </w:r>
          </w:p>
        </w:tc>
        <w:tc>
          <w:tcPr>
            <w:tcW w:type="dxa" w:w="7000"/>
          </w:tcPr>
          <w:p>
            <w:r>
              <w:t>Index p.p 265-278</w:t>
            </w:r>
          </w:p>
        </w:tc>
      </w:tr>
      <w:tr>
        <w:trPr>
          <w:trHeight w:val="567"/>
        </w:trPr>
        <w:tc>
          <w:tcPr>
            <w:tcW w:type="dxa" w:w="3000"/>
          </w:tcPr>
          <w:p>
            <w:r>
              <w:t>Numéro d'Identification</w:t>
            </w:r>
          </w:p>
        </w:tc>
        <w:tc>
          <w:tcPr>
            <w:tcW w:type="dxa" w:w="7000"/>
          </w:tcPr>
          <w:p>
            <w:r>
              <w:t>2225835195</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vacuole/ transpiration/ gamétogenèse/ </w:t>
            </w:r>
          </w:p>
        </w:tc>
      </w:tr>
    </w:tbl>
    <w:p>
      <w:pPr>
        <w:pStyle w:val="Heading3"/>
      </w:pPr>
      <w:r>
        <w:t>Résumé :</w:t>
      </w:r>
    </w:p>
    <w:p>
      <w:r>
        <w:t>Cet ouvrage regroupe les processus évolutifs concernant les grands taxons et tient compte des essais systématiques les plus récents dans la présentation des Dicotylédones. Conformément à la tendance moderne, les Monocotylédones sont étudiées en fin de classification. La biologie moléculaire et les applications de la génétique sont également abordées. Cette onzième éditon intègre de nouveaux concepts tel le cladisme et elle témoigne de la vitalité de la botanique systématique. Le public : Ecrit à l'origine pour des pharmaciens restés fidèles à la connaissance des plantes en raison des nombreuses drogues utilisées en thérapeutique, cet abrégé s'adresse plus généralement aux étudiants en première année de pharmacie, aux élèves des classes préparatoires et des écoles d'agronomie, aux étudiants en sciences de la vie (DEUG B) et enfin à tous ceux qui s'intéressent aux végétaux et à leur écologie.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