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identification des bactéries Gram- résistantes aux antibiotiques à partir des milieux aquatiques contaminés dans le golf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Kerboua, Sarra/ Branes, Zidane/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au antibiotique/ bactérie potentiellement pathogène/ ville d’Annaba/ </w:t>
            </w:r>
          </w:p>
        </w:tc>
      </w:tr>
    </w:tbl>
    <w:p>
      <w:pPr>
        <w:pStyle w:val="Heading3"/>
      </w:pPr>
      <w:r>
        <w:t>Résumé :</w:t>
      </w:r>
    </w:p>
    <w:p>
      <w:r>
        <w:t>La présence de bactéries pathogènes et l’émergence de résistances aux antibiotiques dans les milieux aquatiques représentent un enjeu sanitaire et environnemental mondial. En Algérie, bien que peu d’études aient été menées, l’usage intensif d’antibiotiques en médecine humaine et vétérinaire suggère un impact préoccupant sur les écosystèmes aquatiques.</w:t>
        <w:br/>
        <w:br/>
        <w:t>Ce travail a porté sur la qualité des eaux de deux plages de la ville d’Annaba (Sidi Salem et Jouannoville), très fréquentées durant la période estivale et réceptrices des rejets de deux oueds : Seybouse et Bedjima. Quatre stations ont été choisies selon leur proximité à diverses sources de pollution. Des prélèvements mensuels ont été réalisés durant un an, de mars 2017 à février 2018.</w:t>
        <w:br/>
        <w:br/>
        <w:t xml:space="preserve">Les paramètres physico-chimiques et microbiologiques ont été analysés selon des méthodes standardisées. Les bactéries indicatrices de contamination fécale ont été dénombrées par colimétrie, tandis que les bactéries potentiellement pathogènes ont été identifiées par analyses biochimiques et moléculaires. La sensibilité aux antibiotiques a été évaluée par la méthode de diffusion sur gélose Müller-Hinton. Les résultats ont révélé des variations significatives (p &lt; 0,05) selon les saisons. </w:t>
        <w:br/>
        <w:br/>
        <w:t xml:space="preserve">Entre stations, des différences très significatives (p &lt; 0,0001) ont été observées pour la salinité, la conductivité et les matières en suspension. Une forte contamination fécale a été détectée, avec des taux de coliformes largement supérieurs aux normes. </w:t>
        <w:br/>
        <w:br/>
        <w:t>Les bactéries isolées appartiennent principalement à la famille des Enterobacteriaceae, notamment Escherichia coli, Citrobacter freundii, Enterobacter roggenkampii et Klebsiella pasteurii. Les profils d’antibiorésistance ont révélé une large présence de souches multirésistantes, particulièrement aux bêta-lactamines. Ces résultats soulignent la nécessité d’une gestion rigoureuse de l’usage des antibiotiques et d’un renforcement des mesures de surveillance pour préserver la santé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