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champignons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Bouchet,Ph./ Guignard, Jean-Louis/ Villard, J/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IX-194 p.</w:t>
            </w:r>
          </w:p>
        </w:tc>
      </w:tr>
      <w:tr>
        <w:trPr>
          <w:trHeight w:val="567"/>
        </w:trPr>
        <w:tc>
          <w:tcPr>
            <w:tcW w:type="dxa" w:w="3000"/>
          </w:tcPr>
          <w:p>
            <w:r>
              <w:t>Illustration</w:t>
            </w:r>
          </w:p>
        </w:tc>
        <w:tc>
          <w:tcPr>
            <w:tcW w:type="dxa" w:w="7000"/>
          </w:tcPr>
          <w:p>
            <w:r>
              <w:t>ill. ;</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Abrégés de pharmacie(N°:None)</w:t>
            </w:r>
          </w:p>
        </w:tc>
      </w:tr>
      <w:tr>
        <w:trPr>
          <w:trHeight w:val="567"/>
        </w:trPr>
        <w:tc>
          <w:tcPr>
            <w:tcW w:type="dxa" w:w="3000"/>
          </w:tcPr>
          <w:p>
            <w:r>
              <w:t>Notes Générales</w:t>
            </w:r>
          </w:p>
        </w:tc>
        <w:tc>
          <w:tcPr>
            <w:tcW w:type="dxa" w:w="7000"/>
          </w:tcPr>
          <w:p>
            <w:r>
              <w:t>Bibliogr. Index P.P 184-194</w:t>
            </w:r>
          </w:p>
        </w:tc>
      </w:tr>
      <w:tr>
        <w:trPr>
          <w:trHeight w:val="567"/>
        </w:trPr>
        <w:tc>
          <w:tcPr>
            <w:tcW w:type="dxa" w:w="3000"/>
          </w:tcPr>
          <w:p>
            <w:r>
              <w:t>Numéro d'Identification</w:t>
            </w:r>
          </w:p>
        </w:tc>
        <w:tc>
          <w:tcPr>
            <w:tcW w:type="dxa" w:w="7000"/>
          </w:tcPr>
          <w:p>
            <w:r>
              <w:t>2225856532</w:t>
            </w:r>
          </w:p>
        </w:tc>
      </w:tr>
      <w:tr>
        <w:trPr>
          <w:trHeight w:val="567"/>
        </w:trPr>
        <w:tc>
          <w:tcPr>
            <w:tcW w:type="dxa" w:w="3000"/>
          </w:tcPr>
          <w:p>
            <w:r>
              <w:t>Thème</w:t>
            </w:r>
          </w:p>
        </w:tc>
        <w:tc>
          <w:tcPr>
            <w:tcW w:type="dxa" w:w="7000"/>
          </w:tcPr>
          <w:p>
            <w:r>
              <w:t>Biologie végétale</w:t>
            </w:r>
          </w:p>
        </w:tc>
      </w:tr>
      <w:tr>
        <w:trPr>
          <w:trHeight w:val="567"/>
        </w:trPr>
        <w:tc>
          <w:tcPr>
            <w:tcW w:type="dxa" w:w="3000"/>
          </w:tcPr>
          <w:p>
            <w:r>
              <w:t>Classification(s)</w:t>
            </w:r>
          </w:p>
        </w:tc>
        <w:tc>
          <w:tcPr>
            <w:tcW w:type="dxa" w:w="7000"/>
          </w:tcPr>
          <w:p>
            <w:r>
              <w:t xml:space="preserve">Plantes, biologie des plantes domestiques, biologie des variétés de plantes agricoles, botanique/ </w:t>
            </w:r>
          </w:p>
        </w:tc>
      </w:tr>
      <w:tr>
        <w:trPr>
          <w:trHeight w:val="567"/>
        </w:trPr>
        <w:tc>
          <w:tcPr>
            <w:tcW w:type="dxa" w:w="3000"/>
          </w:tcPr>
          <w:p>
            <w:r>
              <w:t>Sujet(s)</w:t>
            </w:r>
          </w:p>
        </w:tc>
        <w:tc>
          <w:tcPr>
            <w:tcW w:type="dxa" w:w="7000"/>
          </w:tcPr>
          <w:p>
            <w:r>
              <w:t xml:space="preserve">mycologie/ taxonomie/ parasitisme/ </w:t>
            </w:r>
          </w:p>
        </w:tc>
      </w:tr>
    </w:tbl>
    <w:p>
      <w:pPr>
        <w:pStyle w:val="Heading3"/>
      </w:pPr>
      <w:r>
        <w:t>Résumé :</w:t>
      </w:r>
    </w:p>
    <w:p>
      <w:r>
        <w:t>Fondé sur le programme de mycologie-cryptogamie des études pharmaceutiques, cet abrégé intègre les récents progrès de cette discipline et donne une vue d'ensemble du monde des champignons. Les données moléculaires permettent une approche phylogénétique de ces êtres vivants singuliers dont la structure comme le comportement diffèrent de ceux des végétaux et des animaux. L'étude des différents taxons montre la spécificité et le rôle des champignons dans la biosphère en tant que saprophytes, parasites (des plantes, des animaux, de l`homme) ou symbiotes (mycorhizes, lichens, etc.). Cet ouvrage présente les extraordinaires potentialités des micromycètes dans les domaines agro-alimentaires et pharmaceutiques et recense les macromycètes (gros champignons) en renseignant le lecteur sur la toxicité de certaines espèces. Cette nouvelle édition, en grande partie refondue, tient compte des évolutions de la classification à la lumière de la phylogénie moléculaire. Cet abrégé s'adresse aux étudiants en pharmacie, aux élèves des classes préparatoires et des écoles d'agronomie, aux candidats aux concours d'enseignement (CAPES et agrégation), aux étudiants en Sciences de la vie (DEUG B). Les pharmaciens d'officine y trouveront tous les critères pour renseigner les ramasseurs de champignons et les mettre en garde contre les dangers de la consommation de certaines espèces.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