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illustré biologie animale.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L'USTHB/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iil. couv.ill.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9789961020005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Embryologie/ </w:t>
            </w:r>
          </w:p>
        </w:tc>
      </w:tr>
    </w:tbl>
    <w:p>
      <w:pPr>
        <w:pStyle w:val="Heading3"/>
      </w:pPr>
      <w:r>
        <w:t>Résumé :</w:t>
      </w:r>
    </w:p>
    <w:p>
      <w:r>
        <w:t>Le Présent manuel concerne le premier tome d’Embryologie générale, de la matière de BIOLOGIE ANIMALE comportant également l’Histologie. Cette Unité d’Enseignement fondamental, est enseignée au deuxième semestre de la première année (L1) du premier cycle. Dans ce tome, ce document consiste en des "Cours illustrés" établis selon les programmes définis par le Comité Pédagogique National du Domaine des Sciences de la Nature et de la Vie (CPND-SNV). Les cours traitent les grandes lignes du développement embryonnaire et les principales étapes de l’embryogenèse ainsi que les différentes modalités ontogéniques du règne animal. En terme de présentation, les connaissances sont organisées en 9 grands chapitres • gamétogenèse: • fécondation, • segmentation, • gastrulation chez les Amphibiens, • neurulation chez les Amphibiens, • gastrulation chez les Oiseaux, • neurulation chez les Oiseaux, • annexes embryonnaires chez les Oiseaux • embryologie humaine Une illustration variée permet d’aborder l’ensemble des aspects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