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Technologies pour les composants à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Favennec, Pierre Noel/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2225852286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semiconducteur/ constante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complète sur les procédés de fabrication des dispositifs à semiconducteurs, depuis les matériaux de base jusqu’aux applications technologiques. Il expose de manière claire et progressive les principes, méthodes et contraintes liés à la micro- et nano-fabrication.</w:t>
        <w:br/>
        <w:br/>
        <w:t>L’auteur décrit d’abord les propriétés physiques des semiconducteurs, les bases de la conduction électronique, ainsi que les matériaux utilisés (silicium, composés III-V, couches minces, oxydes, nitrures). Ensuite, l’ouvrage détaille les étapes technologiques essentielles : croissance des cristaux, épitaxie, oxydation, diffusion, implantation ionique, lithographie, gravure chimique et plasma, dépôt de couches minces, métallisation et encapsulation.</w:t>
        <w:br/>
        <w:br/>
        <w:t>Un accent particulier est mis sur la maîtrise des procédés de salle blanche et sur les contraintes liées à la miniaturisation croissante des composants. Les technologies associées aux dispositifs spécifiques (diodes, transistors bipolaires, MOSFET, circuits intégrés, composants opto-électroniques, capteurs) sont également abordées.</w:t>
        <w:br/>
        <w:br/>
        <w:t>Enfin, l’ouvrage discute des évolutions récentes et des perspectives, notamment en micro-électronique, en opto-électronique et en nanotechnologies, en soulignant les enjeux scientifiques, industriels et économiques de ces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